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D1" w:rsidRPr="00110446" w:rsidRDefault="004574D1" w:rsidP="004574D1">
      <w:pPr>
        <w:pStyle w:val="Zwischenberschrift"/>
      </w:pPr>
      <w:r w:rsidRPr="00110446">
        <w:t>UCCH Vorlage Kostenübernahmeantrag</w:t>
      </w:r>
    </w:p>
    <w:p w:rsidR="004574D1" w:rsidRPr="00110446" w:rsidRDefault="00AB0FFA" w:rsidP="004574D1">
      <w:pPr>
        <w:pStyle w:val="Zwischenberschrift"/>
      </w:pPr>
      <w:bookmarkStart w:id="0" w:name="_GoBack"/>
      <w:proofErr w:type="spellStart"/>
      <w:r w:rsidRPr="005B1AA2">
        <w:rPr>
          <w:rFonts w:cstheme="minorHAnsi"/>
        </w:rPr>
        <w:t>Venetoclax</w:t>
      </w:r>
      <w:proofErr w:type="spellEnd"/>
      <w:r w:rsidRPr="005B1AA2">
        <w:rPr>
          <w:rFonts w:cstheme="minorHAnsi"/>
        </w:rPr>
        <w:t xml:space="preserve"> </w:t>
      </w:r>
      <w:r>
        <w:rPr>
          <w:rFonts w:cstheme="minorHAnsi"/>
        </w:rPr>
        <w:t>–</w:t>
      </w:r>
      <w:r w:rsidRPr="005B1AA2">
        <w:rPr>
          <w:rFonts w:cstheme="minorHAnsi"/>
        </w:rPr>
        <w:t xml:space="preserve"> MM</w:t>
      </w:r>
      <w:r w:rsidR="00222507">
        <w:rPr>
          <w:rFonts w:cstheme="minorHAnsi"/>
        </w:rPr>
        <w:tab/>
      </w:r>
      <w:r w:rsidR="008C7EA9" w:rsidRPr="00B531D3">
        <w:tab/>
      </w:r>
      <w:bookmarkEnd w:id="0"/>
      <w:r w:rsidR="008C7EA9" w:rsidRPr="00B531D3">
        <w:tab/>
      </w:r>
      <w:r w:rsidR="007A4D09" w:rsidRPr="005D3E33">
        <w:tab/>
      </w:r>
      <w:r w:rsidR="007A4D09">
        <w:tab/>
      </w:r>
      <w:r w:rsidR="009D5DC1" w:rsidRPr="00241765">
        <w:tab/>
      </w:r>
      <w:r w:rsidR="00CA038C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Titel:</w:t>
      </w:r>
    </w:p>
    <w:p w:rsidR="004574D1" w:rsidRDefault="00AB0FFA" w:rsidP="004574D1">
      <w:pPr>
        <w:spacing w:after="0" w:line="360" w:lineRule="auto"/>
        <w:jc w:val="both"/>
        <w:rPr>
          <w:rStyle w:val="Markierung"/>
        </w:rPr>
      </w:pPr>
      <w:r w:rsidRPr="003979F5">
        <w:rPr>
          <w:rFonts w:cstheme="minorHAnsi"/>
        </w:rPr>
        <w:t xml:space="preserve">Antrag </w:t>
      </w:r>
      <w:r>
        <w:rPr>
          <w:rFonts w:cstheme="minorHAnsi"/>
        </w:rPr>
        <w:t xml:space="preserve">auf Kostenübernahme für eine Therapie mit </w:t>
      </w:r>
      <w:proofErr w:type="spellStart"/>
      <w:r>
        <w:rPr>
          <w:rFonts w:cstheme="minorHAnsi"/>
        </w:rPr>
        <w:t>Venetoclax</w:t>
      </w:r>
      <w:proofErr w:type="spellEnd"/>
      <w:r>
        <w:rPr>
          <w:rFonts w:cstheme="minorHAnsi"/>
        </w:rPr>
        <w:t xml:space="preserve"> bei Multiplem </w:t>
      </w:r>
      <w:proofErr w:type="spellStart"/>
      <w:r>
        <w:rPr>
          <w:rFonts w:cstheme="minorHAnsi"/>
        </w:rPr>
        <w:t>Myelom</w:t>
      </w:r>
      <w:proofErr w:type="spellEnd"/>
      <w:r>
        <w:rPr>
          <w:rStyle w:val="Markierung"/>
        </w:rPr>
        <w:t xml:space="preserve"> </w:t>
      </w:r>
      <w:r w:rsidR="00DD4B09" w:rsidRPr="007F10A2">
        <w:rPr>
          <w:rStyle w:val="Markierung"/>
        </w:rPr>
        <w:t xml:space="preserve">der Patientin </w:t>
      </w:r>
      <w:r w:rsidR="00DD4B09" w:rsidRPr="007F10A2">
        <w:rPr>
          <w:rStyle w:val="Markierung"/>
        </w:rPr>
        <w:t>Frau</w:t>
      </w:r>
      <w:r w:rsidR="00DD4B09" w:rsidRPr="004556EC">
        <w:rPr>
          <w:rFonts w:cstheme="minorHAnsi"/>
        </w:rPr>
        <w:t>,</w:t>
      </w:r>
      <w:r w:rsidR="00DD4B09" w:rsidRPr="004556EC">
        <w:rPr>
          <w:rFonts w:cstheme="minorHAnsi"/>
        </w:rPr>
        <w:t xml:space="preserve"> geb. am:  </w:t>
      </w:r>
      <w:r w:rsidR="00DD4B09" w:rsidRPr="007F10A2">
        <w:rPr>
          <w:rStyle w:val="Markierung"/>
        </w:rPr>
        <w:t>Versichertennummer</w:t>
      </w:r>
    </w:p>
    <w:p w:rsidR="00DD4B09" w:rsidRDefault="00DD4B09" w:rsidP="004574D1">
      <w:pPr>
        <w:spacing w:after="0" w:line="360" w:lineRule="auto"/>
        <w:jc w:val="both"/>
      </w:pPr>
    </w:p>
    <w:p w:rsidR="00186091" w:rsidRDefault="00186091" w:rsidP="00186091">
      <w:pPr>
        <w:spacing w:after="0" w:line="360" w:lineRule="auto"/>
        <w:jc w:val="both"/>
        <w:rPr>
          <w:rStyle w:val="Fett"/>
        </w:rPr>
      </w:pPr>
      <w:r w:rsidRPr="009858D5">
        <w:rPr>
          <w:rStyle w:val="Fett"/>
        </w:rPr>
        <w:t>Inhalt</w:t>
      </w:r>
      <w:r w:rsidR="00D668D8">
        <w:rPr>
          <w:rStyle w:val="Fett"/>
        </w:rPr>
        <w:t>:</w:t>
      </w:r>
    </w:p>
    <w:p w:rsidR="001E70B0" w:rsidRDefault="001E70B0" w:rsidP="001E70B0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 xml:space="preserve">Sehr geehrte </w:t>
      </w:r>
      <w:proofErr w:type="spellStart"/>
      <w:proofErr w:type="gramStart"/>
      <w:r w:rsidRPr="00391CC9">
        <w:rPr>
          <w:rFonts w:cstheme="minorHAnsi"/>
        </w:rPr>
        <w:t>Kolleg:innen</w:t>
      </w:r>
      <w:proofErr w:type="spellEnd"/>
      <w:proofErr w:type="gramEnd"/>
      <w:r w:rsidRPr="00391CC9">
        <w:rPr>
          <w:rFonts w:cstheme="minorHAnsi"/>
        </w:rPr>
        <w:t xml:space="preserve"> der </w:t>
      </w:r>
      <w:r w:rsidRPr="00391CC9">
        <w:rPr>
          <w:rStyle w:val="Markierung"/>
        </w:rPr>
        <w:t>TKK</w:t>
      </w:r>
      <w:r w:rsidRPr="00391CC9">
        <w:rPr>
          <w:rFonts w:cstheme="minorHAnsi"/>
        </w:rPr>
        <w:t>,</w:t>
      </w:r>
    </w:p>
    <w:p w:rsidR="001E70B0" w:rsidRPr="009858D5" w:rsidRDefault="001E70B0" w:rsidP="00186091">
      <w:pPr>
        <w:spacing w:after="0" w:line="360" w:lineRule="auto"/>
        <w:jc w:val="both"/>
        <w:rPr>
          <w:rStyle w:val="Fett"/>
        </w:rPr>
      </w:pP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r w:rsidRPr="001A20F6">
        <w:rPr>
          <w:rFonts w:cstheme="minorHAnsi"/>
        </w:rPr>
        <w:t xml:space="preserve">bei dem bei Ihnen versicherten </w:t>
      </w:r>
      <w:r w:rsidRPr="0007221B">
        <w:rPr>
          <w:rStyle w:val="Markierung"/>
        </w:rPr>
        <w:t>XXXX</w:t>
      </w:r>
      <w:r w:rsidRPr="001A20F6">
        <w:rPr>
          <w:rFonts w:cstheme="minorHAnsi"/>
        </w:rPr>
        <w:t xml:space="preserve">, geb. </w:t>
      </w:r>
      <w:r w:rsidRPr="0007221B">
        <w:rPr>
          <w:rStyle w:val="Markierung"/>
        </w:rPr>
        <w:t>XXXX</w:t>
      </w:r>
      <w:r w:rsidRPr="001A20F6">
        <w:rPr>
          <w:rFonts w:cstheme="minorHAnsi"/>
        </w:rPr>
        <w:t xml:space="preserve"> (Versicherten-Nr.: </w:t>
      </w:r>
      <w:r w:rsidRPr="0007221B">
        <w:rPr>
          <w:rStyle w:val="Markierung"/>
        </w:rPr>
        <w:t>XXXX</w:t>
      </w:r>
      <w:r w:rsidRPr="001A20F6">
        <w:rPr>
          <w:rFonts w:cstheme="minorHAnsi"/>
        </w:rPr>
        <w:t xml:space="preserve">), liegt ein therapierefraktäres und mehrfach rezidiviertes Multiples </w:t>
      </w:r>
      <w:proofErr w:type="spellStart"/>
      <w:r w:rsidRPr="001A20F6">
        <w:rPr>
          <w:rFonts w:cstheme="minorHAnsi"/>
        </w:rPr>
        <w:t>Myelom</w:t>
      </w:r>
      <w:proofErr w:type="spellEnd"/>
      <w:r w:rsidRPr="001A20F6">
        <w:rPr>
          <w:rFonts w:cstheme="minorHAnsi"/>
        </w:rPr>
        <w:t xml:space="preserve"> (RRMM) vor, das dringend behandlungsbedürftig ist, und für das wir aufgrund der Besonderheit der </w:t>
      </w:r>
      <w:proofErr w:type="gramStart"/>
      <w:r w:rsidRPr="001A20F6">
        <w:rPr>
          <w:rFonts w:cstheme="minorHAnsi"/>
        </w:rPr>
        <w:t>t(</w:t>
      </w:r>
      <w:proofErr w:type="gramEnd"/>
      <w:r w:rsidRPr="001A20F6">
        <w:rPr>
          <w:rFonts w:cstheme="minorHAnsi"/>
        </w:rPr>
        <w:t xml:space="preserve">11;14) hiermit die Kostenübernahme für </w:t>
      </w: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 xml:space="preserve"> (</w:t>
      </w:r>
      <w:proofErr w:type="spellStart"/>
      <w:r w:rsidRPr="001A20F6">
        <w:rPr>
          <w:rFonts w:cstheme="minorHAnsi"/>
        </w:rPr>
        <w:t>Venclyxto</w:t>
      </w:r>
      <w:proofErr w:type="spellEnd"/>
      <w:r w:rsidRPr="001A20F6">
        <w:rPr>
          <w:rFonts w:cstheme="minorHAnsi"/>
        </w:rPr>
        <w:t xml:space="preserve">®) in Kombination mit </w:t>
      </w:r>
      <w:proofErr w:type="spellStart"/>
      <w:r w:rsidRPr="001A20F6">
        <w:rPr>
          <w:rFonts w:cstheme="minorHAnsi"/>
        </w:rPr>
        <w:t>Bortezomib</w:t>
      </w:r>
      <w:proofErr w:type="spellEnd"/>
      <w:r w:rsidRPr="001A20F6">
        <w:rPr>
          <w:rFonts w:cstheme="minorHAnsi"/>
        </w:rPr>
        <w:t xml:space="preserve"> beantragen möchten. 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r w:rsidRPr="001A20F6">
        <w:rPr>
          <w:rFonts w:cstheme="minorHAnsi"/>
        </w:rPr>
        <w:t xml:space="preserve"> 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r w:rsidRPr="001A20F6">
        <w:rPr>
          <w:rFonts w:cstheme="minorHAnsi"/>
        </w:rPr>
        <w:t xml:space="preserve">Die Erkrankung des Patienten zeigt unter der derzeitigen </w:t>
      </w:r>
      <w:r w:rsidRPr="0007221B">
        <w:rPr>
          <w:rStyle w:val="Markierung"/>
        </w:rPr>
        <w:t>XX-Kombinationstherapie aus XXX</w:t>
      </w:r>
      <w:r w:rsidRPr="001A20F6">
        <w:rPr>
          <w:rFonts w:cstheme="minorHAnsi"/>
        </w:rPr>
        <w:t xml:space="preserve"> aktuell einen erneuten Progress; es liegt eine austherapierte Situation vor. Der Patient selbst ist in </w:t>
      </w:r>
      <w:proofErr w:type="gramStart"/>
      <w:r w:rsidRPr="001A20F6">
        <w:rPr>
          <w:rFonts w:cstheme="minorHAnsi"/>
        </w:rPr>
        <w:t>einem gutem Allgemeinzustand</w:t>
      </w:r>
      <w:proofErr w:type="gramEnd"/>
      <w:r w:rsidRPr="001A20F6">
        <w:rPr>
          <w:rFonts w:cstheme="minorHAnsi"/>
        </w:rPr>
        <w:t xml:space="preserve"> (ECOG 0-1), es bestehen keine relevante </w:t>
      </w:r>
      <w:proofErr w:type="spellStart"/>
      <w:r w:rsidRPr="001A20F6">
        <w:rPr>
          <w:rFonts w:cstheme="minorHAnsi"/>
        </w:rPr>
        <w:t>Toxizitäten</w:t>
      </w:r>
      <w:proofErr w:type="spellEnd"/>
      <w:r w:rsidRPr="001A20F6">
        <w:rPr>
          <w:rFonts w:cstheme="minorHAnsi"/>
        </w:rPr>
        <w:t xml:space="preserve"> oder Einschränkungen durch die Vortherapien oder Begleiterkrankungen. Die Vortherapien umfassten </w:t>
      </w:r>
      <w:r w:rsidRPr="0007221B">
        <w:rPr>
          <w:rStyle w:val="Markierung"/>
        </w:rPr>
        <w:t>XXXX</w:t>
      </w:r>
      <w:r w:rsidRPr="001A20F6">
        <w:rPr>
          <w:rFonts w:cstheme="minorHAnsi"/>
        </w:rPr>
        <w:t xml:space="preserve"> u.a. eine Hochdosistherapie mit </w:t>
      </w:r>
      <w:proofErr w:type="spellStart"/>
      <w:r w:rsidRPr="001A20F6">
        <w:rPr>
          <w:rFonts w:cstheme="minorHAnsi"/>
        </w:rPr>
        <w:t>autologer</w:t>
      </w:r>
      <w:proofErr w:type="spellEnd"/>
      <w:r w:rsidRPr="001A20F6">
        <w:rPr>
          <w:rFonts w:cstheme="minorHAnsi"/>
        </w:rPr>
        <w:t xml:space="preserve"> Stammzelltransplantation, zwei verschiedene </w:t>
      </w:r>
      <w:proofErr w:type="spellStart"/>
      <w:r w:rsidRPr="001A20F6">
        <w:rPr>
          <w:rFonts w:cstheme="minorHAnsi"/>
        </w:rPr>
        <w:t>Proteasomeninhibitoren</w:t>
      </w:r>
      <w:proofErr w:type="spellEnd"/>
      <w:r w:rsidRPr="001A20F6">
        <w:rPr>
          <w:rFonts w:cstheme="minorHAnsi"/>
        </w:rPr>
        <w:t xml:space="preserve">, drei verschiedene </w:t>
      </w:r>
      <w:proofErr w:type="spellStart"/>
      <w:r w:rsidRPr="001A20F6">
        <w:rPr>
          <w:rFonts w:cstheme="minorHAnsi"/>
        </w:rPr>
        <w:t>Immunmodulatorische</w:t>
      </w:r>
      <w:proofErr w:type="spellEnd"/>
      <w:r w:rsidRPr="001A20F6">
        <w:rPr>
          <w:rFonts w:cstheme="minorHAnsi"/>
        </w:rPr>
        <w:t xml:space="preserve"> Substanzen, CD38-Antikörper sowie </w:t>
      </w:r>
      <w:proofErr w:type="spellStart"/>
      <w:r w:rsidRPr="001A20F6">
        <w:rPr>
          <w:rFonts w:cstheme="minorHAnsi"/>
        </w:rPr>
        <w:t>Alkylanzien</w:t>
      </w:r>
      <w:proofErr w:type="spellEnd"/>
      <w:r w:rsidRPr="001A20F6">
        <w:rPr>
          <w:rFonts w:cstheme="minorHAnsi"/>
        </w:rPr>
        <w:t xml:space="preserve">, sodass eine </w:t>
      </w:r>
      <w:proofErr w:type="spellStart"/>
      <w:r w:rsidRPr="001A20F6">
        <w:rPr>
          <w:rFonts w:cstheme="minorHAnsi"/>
        </w:rPr>
        <w:t>penta</w:t>
      </w:r>
      <w:proofErr w:type="spellEnd"/>
      <w:r w:rsidRPr="001A20F6">
        <w:rPr>
          <w:rFonts w:cstheme="minorHAnsi"/>
        </w:rPr>
        <w:t>-refraktäre Situation vorliegt (Gandhi 2019). Zuletzt war bereits der Einschluss in die aktuell laufende CANOVA-Studie (</w:t>
      </w:r>
      <w:proofErr w:type="spellStart"/>
      <w:r w:rsidRPr="001A20F6">
        <w:rPr>
          <w:rFonts w:cstheme="minorHAnsi"/>
        </w:rPr>
        <w:t>Abbvie</w:t>
      </w:r>
      <w:proofErr w:type="spellEnd"/>
      <w:r w:rsidRPr="001A20F6">
        <w:rPr>
          <w:rFonts w:cstheme="minorHAnsi"/>
        </w:rPr>
        <w:t xml:space="preserve"> M13-494), in der </w:t>
      </w: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>/</w:t>
      </w:r>
      <w:proofErr w:type="spellStart"/>
      <w:r w:rsidRPr="001A20F6">
        <w:rPr>
          <w:rFonts w:cstheme="minorHAnsi"/>
        </w:rPr>
        <w:t>Dexamethason</w:t>
      </w:r>
      <w:proofErr w:type="spellEnd"/>
      <w:r w:rsidRPr="001A20F6">
        <w:rPr>
          <w:rFonts w:cstheme="minorHAnsi"/>
        </w:rPr>
        <w:t xml:space="preserve"> randomisiert gegenüber </w:t>
      </w:r>
      <w:proofErr w:type="spellStart"/>
      <w:r w:rsidRPr="001A20F6">
        <w:rPr>
          <w:rFonts w:cstheme="minorHAnsi"/>
        </w:rPr>
        <w:t>Pomalidomid</w:t>
      </w:r>
      <w:proofErr w:type="spellEnd"/>
      <w:r w:rsidRPr="001A20F6">
        <w:rPr>
          <w:rFonts w:cstheme="minorHAnsi"/>
        </w:rPr>
        <w:t>/</w:t>
      </w:r>
      <w:proofErr w:type="spellStart"/>
      <w:r w:rsidRPr="001A20F6">
        <w:rPr>
          <w:rFonts w:cstheme="minorHAnsi"/>
        </w:rPr>
        <w:t>Dexamethason</w:t>
      </w:r>
      <w:proofErr w:type="spellEnd"/>
      <w:r w:rsidRPr="001A20F6">
        <w:rPr>
          <w:rFonts w:cstheme="minorHAnsi"/>
        </w:rPr>
        <w:t xml:space="preserve"> untersucht wird, angestrebt worden, aber letztlich nicht erfolgreich. 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r w:rsidRPr="001A20F6">
        <w:rPr>
          <w:rFonts w:cstheme="minorHAnsi"/>
        </w:rPr>
        <w:t xml:space="preserve">Bei dem Patienten liegt eine </w:t>
      </w:r>
      <w:proofErr w:type="spellStart"/>
      <w:r w:rsidRPr="001A20F6">
        <w:rPr>
          <w:rFonts w:cstheme="minorHAnsi"/>
        </w:rPr>
        <w:t>zytogenetisch</w:t>
      </w:r>
      <w:proofErr w:type="spellEnd"/>
      <w:r w:rsidRPr="001A20F6">
        <w:rPr>
          <w:rFonts w:cstheme="minorHAnsi"/>
        </w:rPr>
        <w:t xml:space="preserve"> mehrfach gesicherte Translokation </w:t>
      </w:r>
      <w:proofErr w:type="gramStart"/>
      <w:r w:rsidRPr="001A20F6">
        <w:rPr>
          <w:rFonts w:cstheme="minorHAnsi"/>
        </w:rPr>
        <w:t>t(</w:t>
      </w:r>
      <w:proofErr w:type="gramEnd"/>
      <w:r w:rsidRPr="001A20F6">
        <w:rPr>
          <w:rFonts w:cstheme="minorHAnsi"/>
        </w:rPr>
        <w:t xml:space="preserve">11;14) vor, welche bei ca. 15-20% der </w:t>
      </w:r>
      <w:proofErr w:type="spellStart"/>
      <w:r w:rsidRPr="001A20F6">
        <w:rPr>
          <w:rFonts w:cstheme="minorHAnsi"/>
        </w:rPr>
        <w:t>Myelompatienten</w:t>
      </w:r>
      <w:proofErr w:type="spellEnd"/>
      <w:r w:rsidRPr="001A20F6">
        <w:rPr>
          <w:rFonts w:cstheme="minorHAnsi"/>
        </w:rPr>
        <w:t xml:space="preserve"> zu finden ist (</w:t>
      </w:r>
      <w:proofErr w:type="spellStart"/>
      <w:r w:rsidRPr="001A20F6">
        <w:rPr>
          <w:rFonts w:cstheme="minorHAnsi"/>
        </w:rPr>
        <w:t>Avet</w:t>
      </w:r>
      <w:proofErr w:type="spellEnd"/>
      <w:r w:rsidRPr="001A20F6">
        <w:rPr>
          <w:rFonts w:cstheme="minorHAnsi"/>
        </w:rPr>
        <w:t xml:space="preserve">-Loiseau 2007). Auf zellulärer Ebene führt diese spezifische Translokation zu einer Überexpression des </w:t>
      </w:r>
      <w:proofErr w:type="spellStart"/>
      <w:r w:rsidRPr="001A20F6">
        <w:rPr>
          <w:rFonts w:cstheme="minorHAnsi"/>
        </w:rPr>
        <w:t>antiapoptotisch</w:t>
      </w:r>
      <w:proofErr w:type="spellEnd"/>
      <w:r w:rsidRPr="001A20F6">
        <w:rPr>
          <w:rFonts w:cstheme="minorHAnsi"/>
        </w:rPr>
        <w:t xml:space="preserve"> wirkenden bcl-2 in </w:t>
      </w:r>
      <w:proofErr w:type="spellStart"/>
      <w:r w:rsidRPr="001A20F6">
        <w:rPr>
          <w:rFonts w:cstheme="minorHAnsi"/>
        </w:rPr>
        <w:t>Myelomzellen</w:t>
      </w:r>
      <w:proofErr w:type="spellEnd"/>
      <w:r w:rsidRPr="001A20F6">
        <w:rPr>
          <w:rFonts w:cstheme="minorHAnsi"/>
        </w:rPr>
        <w:t>, sodass diese einen Überlebensvorteil aufweisen (</w:t>
      </w:r>
      <w:proofErr w:type="spellStart"/>
      <w:r w:rsidRPr="001A20F6">
        <w:rPr>
          <w:rFonts w:cstheme="minorHAnsi"/>
        </w:rPr>
        <w:t>Bodet</w:t>
      </w:r>
      <w:proofErr w:type="spellEnd"/>
      <w:r w:rsidRPr="001A20F6">
        <w:rPr>
          <w:rFonts w:cstheme="minorHAnsi"/>
        </w:rPr>
        <w:t xml:space="preserve"> 2011, </w:t>
      </w:r>
      <w:proofErr w:type="spellStart"/>
      <w:r w:rsidRPr="001A20F6">
        <w:rPr>
          <w:rFonts w:cstheme="minorHAnsi"/>
        </w:rPr>
        <w:t>Touzeau</w:t>
      </w:r>
      <w:proofErr w:type="spellEnd"/>
      <w:r w:rsidRPr="001A20F6">
        <w:rPr>
          <w:rFonts w:cstheme="minorHAnsi"/>
        </w:rPr>
        <w:t xml:space="preserve"> 2016). Die </w:t>
      </w:r>
      <w:proofErr w:type="spellStart"/>
      <w:r w:rsidRPr="001A20F6">
        <w:rPr>
          <w:rFonts w:cstheme="minorHAnsi"/>
        </w:rPr>
        <w:t>Antagonisierung</w:t>
      </w:r>
      <w:proofErr w:type="spellEnd"/>
      <w:r w:rsidRPr="001A20F6">
        <w:rPr>
          <w:rFonts w:cstheme="minorHAnsi"/>
        </w:rPr>
        <w:t xml:space="preserve"> von bcl-2 stellt daher einen vielversprechenden therapeutischen Ansatzpunkt dar.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 xml:space="preserve"> als oral verfügbarer, selektiver Bcl-2-Inhibitor, welches für die Therapie der Chronisch Lymphatischen Leukämie bereits zugelassen ist, zeigte präklinisch auch in </w:t>
      </w:r>
      <w:proofErr w:type="spellStart"/>
      <w:r w:rsidRPr="001A20F6">
        <w:rPr>
          <w:rFonts w:cstheme="minorHAnsi"/>
        </w:rPr>
        <w:t>Myelomzellen</w:t>
      </w:r>
      <w:proofErr w:type="spellEnd"/>
      <w:r w:rsidRPr="001A20F6">
        <w:rPr>
          <w:rFonts w:cstheme="minorHAnsi"/>
        </w:rPr>
        <w:t xml:space="preserve"> eine Apoptose-induzierenden Wirkung über die Bcl-2-Inibition (</w:t>
      </w:r>
      <w:proofErr w:type="spellStart"/>
      <w:r w:rsidRPr="001A20F6">
        <w:rPr>
          <w:rFonts w:cstheme="minorHAnsi"/>
        </w:rPr>
        <w:t>Touzeau</w:t>
      </w:r>
      <w:proofErr w:type="spellEnd"/>
      <w:r w:rsidRPr="001A20F6">
        <w:rPr>
          <w:rFonts w:cstheme="minorHAnsi"/>
        </w:rPr>
        <w:t xml:space="preserve"> 2014), sodass klinische Phase I/II-Studien bei RRMM initiiert wurden. Auch die klinischen Studien erbrachten eine positive Datenlage für </w:t>
      </w: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 xml:space="preserve">: in einer Phase I/II Studie fand sich für ein austherapiertes Patientenkollektiv mit median fünf Vortherapielinien eine Overall Response Rate (ORR) von 40% und eine </w:t>
      </w:r>
      <w:proofErr w:type="spellStart"/>
      <w:r w:rsidRPr="001A20F6">
        <w:rPr>
          <w:rFonts w:cstheme="minorHAnsi"/>
        </w:rPr>
        <w:t>Very</w:t>
      </w:r>
      <w:proofErr w:type="spellEnd"/>
      <w:r w:rsidRPr="001A20F6">
        <w:rPr>
          <w:rFonts w:cstheme="minorHAnsi"/>
        </w:rPr>
        <w:t xml:space="preserve"> </w:t>
      </w:r>
      <w:proofErr w:type="spellStart"/>
      <w:r w:rsidRPr="001A20F6">
        <w:rPr>
          <w:rFonts w:cstheme="minorHAnsi"/>
        </w:rPr>
        <w:t>good</w:t>
      </w:r>
      <w:proofErr w:type="spellEnd"/>
      <w:r w:rsidRPr="001A20F6">
        <w:rPr>
          <w:rFonts w:cstheme="minorHAnsi"/>
        </w:rPr>
        <w:t xml:space="preserve"> partial </w:t>
      </w:r>
      <w:proofErr w:type="spellStart"/>
      <w:r w:rsidRPr="001A20F6">
        <w:rPr>
          <w:rFonts w:cstheme="minorHAnsi"/>
        </w:rPr>
        <w:t>response</w:t>
      </w:r>
      <w:proofErr w:type="spellEnd"/>
      <w:r w:rsidRPr="001A20F6">
        <w:rPr>
          <w:rFonts w:cstheme="minorHAnsi"/>
        </w:rPr>
        <w:t xml:space="preserve"> (VGPR) oder besser bei 27% in der </w:t>
      </w:r>
      <w:proofErr w:type="gramStart"/>
      <w:r w:rsidRPr="001A20F6">
        <w:rPr>
          <w:rFonts w:cstheme="minorHAnsi"/>
        </w:rPr>
        <w:t>t(</w:t>
      </w:r>
      <w:proofErr w:type="gramEnd"/>
      <w:r w:rsidRPr="001A20F6">
        <w:rPr>
          <w:rFonts w:cstheme="minorHAnsi"/>
        </w:rPr>
        <w:t xml:space="preserve">11;14)-Subgruppe (Kumar 2017). Das Sicherheitsprofil war </w:t>
      </w:r>
      <w:proofErr w:type="spellStart"/>
      <w:r w:rsidRPr="001A20F6">
        <w:rPr>
          <w:rFonts w:cstheme="minorHAnsi"/>
        </w:rPr>
        <w:t>erwart</w:t>
      </w:r>
      <w:proofErr w:type="spellEnd"/>
      <w:r w:rsidRPr="001A20F6">
        <w:rPr>
          <w:rFonts w:cstheme="minorHAnsi"/>
        </w:rPr>
        <w:t>- und vertretbar (</w:t>
      </w:r>
      <w:proofErr w:type="spellStart"/>
      <w:r w:rsidRPr="001A20F6">
        <w:rPr>
          <w:rFonts w:cstheme="minorHAnsi"/>
        </w:rPr>
        <w:t>Zytopenien</w:t>
      </w:r>
      <w:proofErr w:type="spellEnd"/>
      <w:r w:rsidRPr="001A20F6">
        <w:rPr>
          <w:rFonts w:cstheme="minorHAnsi"/>
        </w:rPr>
        <w:t xml:space="preserve">, Übelkeit, Diarrhoen) (Kumar 2017). 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r w:rsidRPr="001A20F6">
        <w:rPr>
          <w:rFonts w:cstheme="minorHAnsi"/>
        </w:rPr>
        <w:lastRenderedPageBreak/>
        <w:t xml:space="preserve">Aufgrund von präklinischen Daten, die eine gegenseitig verstärkte Wirkung bei Kombination von </w:t>
      </w:r>
      <w:proofErr w:type="spellStart"/>
      <w:r w:rsidRPr="001A20F6">
        <w:rPr>
          <w:rFonts w:cstheme="minorHAnsi"/>
        </w:rPr>
        <w:t>Bortezomib</w:t>
      </w:r>
      <w:proofErr w:type="spellEnd"/>
      <w:r w:rsidRPr="001A20F6">
        <w:rPr>
          <w:rFonts w:cstheme="minorHAnsi"/>
        </w:rPr>
        <w:t xml:space="preserve"> und </w:t>
      </w: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 xml:space="preserve"> (über Bcl-2 und MCL-1) zeigten (Gong 2016), wurde diese Substanzkombination (</w:t>
      </w: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>/</w:t>
      </w:r>
      <w:proofErr w:type="spellStart"/>
      <w:r w:rsidRPr="001A20F6">
        <w:rPr>
          <w:rFonts w:cstheme="minorHAnsi"/>
        </w:rPr>
        <w:t>Bortezomib</w:t>
      </w:r>
      <w:proofErr w:type="spellEnd"/>
      <w:r w:rsidRPr="001A20F6">
        <w:rPr>
          <w:rFonts w:cstheme="minorHAnsi"/>
        </w:rPr>
        <w:t>/</w:t>
      </w:r>
      <w:proofErr w:type="spellStart"/>
      <w:r w:rsidRPr="001A20F6">
        <w:rPr>
          <w:rFonts w:cstheme="minorHAnsi"/>
        </w:rPr>
        <w:t>Dexamethason</w:t>
      </w:r>
      <w:proofErr w:type="spellEnd"/>
      <w:r w:rsidRPr="001A20F6">
        <w:rPr>
          <w:rFonts w:cstheme="minorHAnsi"/>
        </w:rPr>
        <w:t xml:space="preserve">) in einer weiteren Phase 1b-Studie untersucht (Moreau 2017). Mit einer ORR von 94% bei Patienten mit hoher bcl-2-Expression ist eine sehr hohe Ansprechrate verzeichnet worden; auch über das gesamte Kollektiv mit </w:t>
      </w:r>
      <w:proofErr w:type="gramStart"/>
      <w:r w:rsidRPr="001A20F6">
        <w:rPr>
          <w:rFonts w:cstheme="minorHAnsi"/>
        </w:rPr>
        <w:t>t(</w:t>
      </w:r>
      <w:proofErr w:type="gramEnd"/>
      <w:r w:rsidRPr="001A20F6">
        <w:rPr>
          <w:rFonts w:cstheme="minorHAnsi"/>
        </w:rPr>
        <w:t xml:space="preserve">11;14) lag die ORR mit 78% hoch bei einem ebenfalls vertretbaren Sicherheitsprofil (Moreau 2017). 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r w:rsidRPr="001A20F6">
        <w:rPr>
          <w:rFonts w:cstheme="minorHAnsi"/>
        </w:rPr>
        <w:t xml:space="preserve">Die Kosten für die Therapie mit </w:t>
      </w: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 xml:space="preserve"> belaufen sich auf </w:t>
      </w:r>
      <w:r w:rsidRPr="009E661E">
        <w:rPr>
          <w:rStyle w:val="Markierung"/>
        </w:rPr>
        <w:t>6523 €/Monat (entsprechend 78.276 €/Jahr)</w:t>
      </w:r>
      <w:r w:rsidRPr="001A20F6">
        <w:rPr>
          <w:rFonts w:cstheme="minorHAnsi"/>
        </w:rPr>
        <w:t xml:space="preserve"> für </w:t>
      </w:r>
      <w:proofErr w:type="spellStart"/>
      <w:r w:rsidRPr="001A20F6">
        <w:rPr>
          <w:rFonts w:cstheme="minorHAnsi"/>
        </w:rPr>
        <w:t>Venetoclax</w:t>
      </w:r>
      <w:proofErr w:type="spellEnd"/>
      <w:r w:rsidRPr="001A20F6">
        <w:rPr>
          <w:rFonts w:cstheme="minorHAnsi"/>
        </w:rPr>
        <w:t xml:space="preserve"> und max. </w:t>
      </w:r>
      <w:r w:rsidRPr="009E661E">
        <w:rPr>
          <w:rStyle w:val="Markierung"/>
        </w:rPr>
        <w:t xml:space="preserve">55.344 € für </w:t>
      </w:r>
      <w:proofErr w:type="spellStart"/>
      <w:r w:rsidRPr="009E661E">
        <w:rPr>
          <w:rStyle w:val="Markierung"/>
        </w:rPr>
        <w:t>Bortezomib</w:t>
      </w:r>
      <w:proofErr w:type="spellEnd"/>
      <w:r w:rsidRPr="009E661E">
        <w:rPr>
          <w:rStyle w:val="Markierung"/>
        </w:rPr>
        <w:t xml:space="preserve"> (bei bis zu max. 48 Gaben über insg. 12 Zyklen)</w:t>
      </w:r>
      <w:r w:rsidRPr="001A20F6">
        <w:rPr>
          <w:rFonts w:cstheme="minorHAnsi"/>
        </w:rPr>
        <w:t xml:space="preserve">, und sind damit günstiger als andere Therapieoptionen (bspw. eine Kombinationstherapie von </w:t>
      </w:r>
      <w:proofErr w:type="spellStart"/>
      <w:r w:rsidRPr="001A20F6">
        <w:rPr>
          <w:rFonts w:cstheme="minorHAnsi"/>
        </w:rPr>
        <w:t>Isatuximab</w:t>
      </w:r>
      <w:proofErr w:type="spellEnd"/>
      <w:r w:rsidRPr="001A20F6">
        <w:rPr>
          <w:rFonts w:cstheme="minorHAnsi"/>
        </w:rPr>
        <w:t>/</w:t>
      </w:r>
      <w:proofErr w:type="spellStart"/>
      <w:r w:rsidRPr="001A20F6">
        <w:rPr>
          <w:rFonts w:cstheme="minorHAnsi"/>
        </w:rPr>
        <w:t>Pomalidomid</w:t>
      </w:r>
      <w:proofErr w:type="spellEnd"/>
      <w:r w:rsidRPr="001A20F6">
        <w:rPr>
          <w:rFonts w:cstheme="minorHAnsi"/>
        </w:rPr>
        <w:t>/</w:t>
      </w:r>
      <w:proofErr w:type="spellStart"/>
      <w:r w:rsidRPr="001A20F6">
        <w:rPr>
          <w:rFonts w:cstheme="minorHAnsi"/>
        </w:rPr>
        <w:t>Dexamethason</w:t>
      </w:r>
      <w:proofErr w:type="spellEnd"/>
      <w:r w:rsidRPr="001A20F6">
        <w:rPr>
          <w:rFonts w:cstheme="minorHAnsi"/>
        </w:rPr>
        <w:t xml:space="preserve"> mit 279.125€ Jahreskosten [131.600€/Jahr für </w:t>
      </w:r>
      <w:proofErr w:type="spellStart"/>
      <w:r w:rsidRPr="001A20F6">
        <w:rPr>
          <w:rFonts w:cstheme="minorHAnsi"/>
        </w:rPr>
        <w:t>Isatuximab</w:t>
      </w:r>
      <w:proofErr w:type="spellEnd"/>
      <w:r w:rsidRPr="001A20F6">
        <w:rPr>
          <w:rFonts w:cstheme="minorHAnsi"/>
        </w:rPr>
        <w:t xml:space="preserve"> und 147.525 €/Jahr für </w:t>
      </w:r>
      <w:proofErr w:type="spellStart"/>
      <w:r w:rsidRPr="001A20F6">
        <w:rPr>
          <w:rFonts w:cstheme="minorHAnsi"/>
        </w:rPr>
        <w:t>Pomalidomid</w:t>
      </w:r>
      <w:proofErr w:type="spellEnd"/>
      <w:r w:rsidRPr="001A20F6">
        <w:rPr>
          <w:rFonts w:cstheme="minorHAnsi"/>
        </w:rPr>
        <w:t>]).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</w:rPr>
      </w:pPr>
      <w:r w:rsidRPr="001A20F6">
        <w:rPr>
          <w:rFonts w:cstheme="minorHAnsi"/>
        </w:rPr>
        <w:t xml:space="preserve">Da die Erkrankung dringend behandlungsbedürftig ist, bitten wir um rasche Bearbeitung dieser Angelegenheit. Für Rückfragen stehe ich unter Tel.: </w:t>
      </w:r>
      <w:r w:rsidRPr="00712F7D">
        <w:rPr>
          <w:rStyle w:val="Markierung"/>
        </w:rPr>
        <w:t>015222831701</w:t>
      </w:r>
      <w:r w:rsidRPr="001A20F6">
        <w:rPr>
          <w:rFonts w:cstheme="minorHAnsi"/>
        </w:rPr>
        <w:t xml:space="preserve"> oder unter der Email </w:t>
      </w:r>
      <w:r w:rsidRPr="00712F7D">
        <w:rPr>
          <w:rStyle w:val="Markierung"/>
        </w:rPr>
        <w:t>l.leypoldt@uke.de</w:t>
      </w:r>
      <w:r w:rsidRPr="001A20F6">
        <w:rPr>
          <w:rFonts w:cstheme="minorHAnsi"/>
        </w:rPr>
        <w:t xml:space="preserve"> jederzeit gerne zur Verfügung. Ich bitte Sie, uns Ihre Entscheidung bezüglich der Kostenübernahme an die Faxnummer </w:t>
      </w:r>
      <w:r w:rsidRPr="00712F7D">
        <w:rPr>
          <w:rStyle w:val="Markierung"/>
        </w:rPr>
        <w:t>040/7410-52849</w:t>
      </w:r>
      <w:r w:rsidRPr="001A20F6">
        <w:rPr>
          <w:rFonts w:cstheme="minorHAnsi"/>
        </w:rPr>
        <w:t xml:space="preserve"> zu schicken. </w:t>
      </w:r>
    </w:p>
    <w:p w:rsidR="00222507" w:rsidRDefault="00222507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8C7EA9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>Mit bestem Dank für Ihre Mühe und freundlichen Grüßen</w:t>
      </w:r>
    </w:p>
    <w:p w:rsidR="00AB0FFA" w:rsidRDefault="00AB0FFA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AB0FFA" w:rsidRPr="00AB0FFA" w:rsidRDefault="00AB0FFA" w:rsidP="00AB0FFA">
      <w:pPr>
        <w:spacing w:after="0" w:line="360" w:lineRule="auto"/>
        <w:ind w:right="454"/>
        <w:jc w:val="both"/>
        <w:rPr>
          <w:rStyle w:val="Fett"/>
          <w:lang w:val="en-US"/>
        </w:rPr>
      </w:pPr>
      <w:proofErr w:type="spellStart"/>
      <w:r w:rsidRPr="00AB0FFA">
        <w:rPr>
          <w:rStyle w:val="Fett"/>
          <w:lang w:val="en-US"/>
        </w:rPr>
        <w:t>Literatur</w:t>
      </w:r>
      <w:proofErr w:type="spellEnd"/>
      <w:r w:rsidRPr="00AB0FFA">
        <w:rPr>
          <w:rStyle w:val="Fett"/>
          <w:lang w:val="en-US"/>
        </w:rPr>
        <w:t xml:space="preserve">: </w:t>
      </w:r>
    </w:p>
    <w:p w:rsidR="00AB0FFA" w:rsidRPr="001A20F6" w:rsidRDefault="00AB0FFA" w:rsidP="00AB0FFA">
      <w:pPr>
        <w:spacing w:after="0" w:line="360" w:lineRule="auto"/>
        <w:ind w:right="454"/>
        <w:jc w:val="both"/>
        <w:rPr>
          <w:rFonts w:cstheme="minorHAnsi"/>
          <w:lang w:val="en-US"/>
        </w:rPr>
      </w:pPr>
    </w:p>
    <w:p w:rsidR="00AB0FFA" w:rsidRPr="00AB0FFA" w:rsidRDefault="00AB0FFA" w:rsidP="00AB0FFA">
      <w:pPr>
        <w:pStyle w:val="Listenabsatz"/>
        <w:numPr>
          <w:ilvl w:val="0"/>
          <w:numId w:val="21"/>
        </w:numPr>
        <w:spacing w:after="0" w:line="360" w:lineRule="auto"/>
        <w:ind w:right="454"/>
        <w:rPr>
          <w:rFonts w:cstheme="minorHAnsi"/>
          <w:lang w:val="en-US"/>
        </w:rPr>
      </w:pPr>
      <w:proofErr w:type="spellStart"/>
      <w:r w:rsidRPr="00AB0FFA">
        <w:rPr>
          <w:rFonts w:cstheme="minorHAnsi"/>
          <w:lang w:val="en-US"/>
        </w:rPr>
        <w:t>Avet-Loiseau</w:t>
      </w:r>
      <w:proofErr w:type="spellEnd"/>
      <w:r w:rsidRPr="00AB0FFA">
        <w:rPr>
          <w:rFonts w:cstheme="minorHAnsi"/>
          <w:lang w:val="en-US"/>
        </w:rPr>
        <w:t xml:space="preserve"> H, Attal M, Moreau P, et al. Genetic abnormalities and survival in </w:t>
      </w:r>
      <w:proofErr w:type="spellStart"/>
      <w:r w:rsidRPr="00AB0FFA">
        <w:rPr>
          <w:rFonts w:cstheme="minorHAnsi"/>
          <w:lang w:val="en-US"/>
        </w:rPr>
        <w:t>Multple</w:t>
      </w:r>
      <w:proofErr w:type="spellEnd"/>
      <w:r w:rsidRPr="00AB0FFA">
        <w:rPr>
          <w:rFonts w:cstheme="minorHAnsi"/>
          <w:lang w:val="en-US"/>
        </w:rPr>
        <w:t xml:space="preserve"> Myeloma: the experience of the </w:t>
      </w:r>
      <w:proofErr w:type="spellStart"/>
      <w:r w:rsidRPr="00AB0FFA">
        <w:rPr>
          <w:rFonts w:cstheme="minorHAnsi"/>
          <w:lang w:val="en-US"/>
        </w:rPr>
        <w:t>Intergroupe</w:t>
      </w:r>
      <w:proofErr w:type="spellEnd"/>
      <w:r w:rsidRPr="00AB0FFA">
        <w:rPr>
          <w:rFonts w:cstheme="minorHAnsi"/>
          <w:lang w:val="en-US"/>
        </w:rPr>
        <w:t xml:space="preserve"> Francophone du </w:t>
      </w:r>
      <w:proofErr w:type="spellStart"/>
      <w:r w:rsidRPr="00AB0FFA">
        <w:rPr>
          <w:rFonts w:cstheme="minorHAnsi"/>
          <w:lang w:val="en-US"/>
        </w:rPr>
        <w:t>Myélome</w:t>
      </w:r>
      <w:proofErr w:type="spellEnd"/>
      <w:r w:rsidRPr="00AB0FFA">
        <w:rPr>
          <w:rFonts w:cstheme="minorHAnsi"/>
          <w:lang w:val="en-US"/>
        </w:rPr>
        <w:t>. (Blood 2007)</w:t>
      </w:r>
    </w:p>
    <w:p w:rsidR="00AB0FFA" w:rsidRPr="00AB0FFA" w:rsidRDefault="00AB0FFA" w:rsidP="00AB0FFA">
      <w:pPr>
        <w:pStyle w:val="Listenabsatz"/>
        <w:numPr>
          <w:ilvl w:val="0"/>
          <w:numId w:val="21"/>
        </w:numPr>
        <w:spacing w:after="0" w:line="360" w:lineRule="auto"/>
        <w:ind w:right="454"/>
        <w:rPr>
          <w:rFonts w:cstheme="minorHAnsi"/>
          <w:lang w:val="en-US"/>
        </w:rPr>
      </w:pPr>
      <w:proofErr w:type="spellStart"/>
      <w:r w:rsidRPr="00AB0FFA">
        <w:rPr>
          <w:rFonts w:cstheme="minorHAnsi"/>
        </w:rPr>
        <w:t>Bodet</w:t>
      </w:r>
      <w:proofErr w:type="spellEnd"/>
      <w:r w:rsidRPr="00AB0FFA">
        <w:rPr>
          <w:rFonts w:cstheme="minorHAnsi"/>
        </w:rPr>
        <w:t xml:space="preserve"> L, Gomez-Bougie P, </w:t>
      </w:r>
      <w:proofErr w:type="spellStart"/>
      <w:r w:rsidRPr="00AB0FFA">
        <w:rPr>
          <w:rFonts w:cstheme="minorHAnsi"/>
        </w:rPr>
        <w:t>Touzeau</w:t>
      </w:r>
      <w:proofErr w:type="spellEnd"/>
      <w:r w:rsidRPr="00AB0FFA">
        <w:rPr>
          <w:rFonts w:cstheme="minorHAnsi"/>
        </w:rPr>
        <w:t xml:space="preserve"> C, et al. </w:t>
      </w:r>
      <w:r w:rsidRPr="00AB0FFA">
        <w:rPr>
          <w:rFonts w:cstheme="minorHAnsi"/>
          <w:lang w:val="en-US"/>
        </w:rPr>
        <w:t xml:space="preserve">ABT-737 is highly effective </w:t>
      </w:r>
      <w:proofErr w:type="spellStart"/>
      <w:r w:rsidRPr="00AB0FFA">
        <w:rPr>
          <w:rFonts w:cstheme="minorHAnsi"/>
          <w:lang w:val="en-US"/>
        </w:rPr>
        <w:t>againgst</w:t>
      </w:r>
      <w:proofErr w:type="spellEnd"/>
      <w:r w:rsidRPr="00AB0FFA">
        <w:rPr>
          <w:rFonts w:cstheme="minorHAnsi"/>
          <w:lang w:val="en-US"/>
        </w:rPr>
        <w:t xml:space="preserve"> molecular subgroups of multiple myeloma. (Blood 2011)</w:t>
      </w:r>
    </w:p>
    <w:p w:rsidR="00AB0FFA" w:rsidRPr="00AB0FFA" w:rsidRDefault="00AB0FFA" w:rsidP="00AB0FFA">
      <w:pPr>
        <w:pStyle w:val="Listenabsatz"/>
        <w:numPr>
          <w:ilvl w:val="0"/>
          <w:numId w:val="21"/>
        </w:numPr>
        <w:spacing w:after="0" w:line="360" w:lineRule="auto"/>
        <w:ind w:right="454"/>
        <w:rPr>
          <w:rFonts w:cstheme="minorHAnsi"/>
          <w:lang w:val="en-US"/>
        </w:rPr>
      </w:pPr>
      <w:r w:rsidRPr="00AB0FFA">
        <w:rPr>
          <w:rFonts w:cstheme="minorHAnsi"/>
          <w:lang w:val="en-US"/>
        </w:rPr>
        <w:t xml:space="preserve">Gandhi UH, Cornell RF, </w:t>
      </w:r>
      <w:proofErr w:type="spellStart"/>
      <w:r w:rsidRPr="00AB0FFA">
        <w:rPr>
          <w:rFonts w:cstheme="minorHAnsi"/>
          <w:lang w:val="en-US"/>
        </w:rPr>
        <w:t>Lakshman</w:t>
      </w:r>
      <w:proofErr w:type="spellEnd"/>
      <w:r w:rsidRPr="00AB0FFA">
        <w:rPr>
          <w:rFonts w:cstheme="minorHAnsi"/>
          <w:lang w:val="en-US"/>
        </w:rPr>
        <w:t xml:space="preserve"> A, et al. Outcomes of patients with multiple myeloma refractory to CD38-targeted monoclonal antibody therapy. (Leukemia 2019)</w:t>
      </w:r>
    </w:p>
    <w:p w:rsidR="00AB0FFA" w:rsidRPr="00AB0FFA" w:rsidRDefault="00AB0FFA" w:rsidP="00AB0FFA">
      <w:pPr>
        <w:pStyle w:val="Listenabsatz"/>
        <w:numPr>
          <w:ilvl w:val="0"/>
          <w:numId w:val="21"/>
        </w:numPr>
        <w:spacing w:after="0" w:line="360" w:lineRule="auto"/>
        <w:ind w:right="454"/>
        <w:rPr>
          <w:rFonts w:cstheme="minorHAnsi"/>
          <w:lang w:val="en-US"/>
        </w:rPr>
      </w:pPr>
      <w:r w:rsidRPr="00AB0FFA">
        <w:rPr>
          <w:rFonts w:cstheme="minorHAnsi"/>
          <w:lang w:val="en-US"/>
        </w:rPr>
        <w:t xml:space="preserve">Gong JN, </w:t>
      </w:r>
      <w:proofErr w:type="spellStart"/>
      <w:r w:rsidRPr="00AB0FFA">
        <w:rPr>
          <w:rFonts w:cstheme="minorHAnsi"/>
          <w:lang w:val="en-US"/>
        </w:rPr>
        <w:t>Khong</w:t>
      </w:r>
      <w:proofErr w:type="spellEnd"/>
      <w:r w:rsidRPr="00AB0FFA">
        <w:rPr>
          <w:rFonts w:cstheme="minorHAnsi"/>
          <w:lang w:val="en-US"/>
        </w:rPr>
        <w:t xml:space="preserve"> T, Segal D, et al. Hierarchy for targeting </w:t>
      </w:r>
      <w:proofErr w:type="spellStart"/>
      <w:r w:rsidRPr="00AB0FFA">
        <w:rPr>
          <w:rFonts w:cstheme="minorHAnsi"/>
          <w:lang w:val="en-US"/>
        </w:rPr>
        <w:t>prosurvival</w:t>
      </w:r>
      <w:proofErr w:type="spellEnd"/>
      <w:r w:rsidRPr="00AB0FFA">
        <w:rPr>
          <w:rFonts w:cstheme="minorHAnsi"/>
          <w:lang w:val="en-US"/>
        </w:rPr>
        <w:t xml:space="preserve"> BCL2 family proteins in multiple myeloma: pivotal role of MCL1. (Blood 2016)</w:t>
      </w:r>
    </w:p>
    <w:p w:rsidR="00AB0FFA" w:rsidRPr="00AB0FFA" w:rsidRDefault="00AB0FFA" w:rsidP="00AB0FFA">
      <w:pPr>
        <w:pStyle w:val="Listenabsatz"/>
        <w:numPr>
          <w:ilvl w:val="0"/>
          <w:numId w:val="21"/>
        </w:numPr>
        <w:spacing w:after="0" w:line="360" w:lineRule="auto"/>
        <w:ind w:right="454"/>
        <w:rPr>
          <w:rFonts w:cstheme="minorHAnsi"/>
          <w:lang w:val="en-US"/>
        </w:rPr>
      </w:pPr>
      <w:r w:rsidRPr="00AB0FFA">
        <w:rPr>
          <w:rFonts w:cstheme="minorHAnsi"/>
        </w:rPr>
        <w:t xml:space="preserve">Kumar S, Kaufman J, </w:t>
      </w:r>
      <w:proofErr w:type="spellStart"/>
      <w:r w:rsidRPr="00AB0FFA">
        <w:rPr>
          <w:rFonts w:cstheme="minorHAnsi"/>
        </w:rPr>
        <w:t>Gasparetto</w:t>
      </w:r>
      <w:proofErr w:type="spellEnd"/>
      <w:r w:rsidRPr="00AB0FFA">
        <w:rPr>
          <w:rFonts w:cstheme="minorHAnsi"/>
        </w:rPr>
        <w:t xml:space="preserve"> C, et al. </w:t>
      </w:r>
      <w:r w:rsidRPr="00AB0FFA">
        <w:rPr>
          <w:rFonts w:cstheme="minorHAnsi"/>
          <w:lang w:val="en-US"/>
        </w:rPr>
        <w:t xml:space="preserve">Efficacy of </w:t>
      </w:r>
      <w:proofErr w:type="spellStart"/>
      <w:r w:rsidRPr="00AB0FFA">
        <w:rPr>
          <w:rFonts w:cstheme="minorHAnsi"/>
          <w:lang w:val="en-US"/>
        </w:rPr>
        <w:t>venetoclax</w:t>
      </w:r>
      <w:proofErr w:type="spellEnd"/>
      <w:r w:rsidRPr="00AB0FFA">
        <w:rPr>
          <w:rFonts w:cstheme="minorHAnsi"/>
          <w:lang w:val="en-US"/>
        </w:rPr>
        <w:t xml:space="preserve"> as targeted therapy for relapsed/refractory </w:t>
      </w:r>
      <w:proofErr w:type="gramStart"/>
      <w:r w:rsidRPr="00AB0FFA">
        <w:rPr>
          <w:rFonts w:cstheme="minorHAnsi"/>
          <w:lang w:val="en-US"/>
        </w:rPr>
        <w:t>t(</w:t>
      </w:r>
      <w:proofErr w:type="gramEnd"/>
      <w:r w:rsidRPr="00AB0FFA">
        <w:rPr>
          <w:rFonts w:cstheme="minorHAnsi"/>
          <w:lang w:val="en-US"/>
        </w:rPr>
        <w:t xml:space="preserve">11;14) multiple myeloma. (Blood 2017). </w:t>
      </w:r>
    </w:p>
    <w:p w:rsidR="00AB0FFA" w:rsidRPr="00AB0FFA" w:rsidRDefault="00AB0FFA" w:rsidP="00AB0FFA">
      <w:pPr>
        <w:pStyle w:val="Listenabsatz"/>
        <w:numPr>
          <w:ilvl w:val="0"/>
          <w:numId w:val="21"/>
        </w:numPr>
        <w:spacing w:after="0" w:line="360" w:lineRule="auto"/>
        <w:ind w:right="454"/>
        <w:rPr>
          <w:rFonts w:cstheme="minorHAnsi"/>
          <w:lang w:val="en-US"/>
        </w:rPr>
      </w:pPr>
      <w:r w:rsidRPr="00AB0FFA">
        <w:rPr>
          <w:rFonts w:cstheme="minorHAnsi"/>
          <w:lang w:val="en-US"/>
        </w:rPr>
        <w:t xml:space="preserve">Moreau P, </w:t>
      </w:r>
      <w:proofErr w:type="spellStart"/>
      <w:r w:rsidRPr="00AB0FFA">
        <w:rPr>
          <w:rFonts w:cstheme="minorHAnsi"/>
          <w:lang w:val="en-US"/>
        </w:rPr>
        <w:t>Chanan</w:t>
      </w:r>
      <w:proofErr w:type="spellEnd"/>
      <w:r w:rsidRPr="00AB0FFA">
        <w:rPr>
          <w:rFonts w:cstheme="minorHAnsi"/>
          <w:lang w:val="en-US"/>
        </w:rPr>
        <w:t xml:space="preserve">-Khan A, Roberts AW, et al. Promising efficacy and acceptable safety of </w:t>
      </w:r>
      <w:proofErr w:type="spellStart"/>
      <w:r w:rsidRPr="00AB0FFA">
        <w:rPr>
          <w:rFonts w:cstheme="minorHAnsi"/>
          <w:lang w:val="en-US"/>
        </w:rPr>
        <w:t>venetoclax</w:t>
      </w:r>
      <w:proofErr w:type="spellEnd"/>
      <w:r w:rsidRPr="00AB0FFA">
        <w:rPr>
          <w:rFonts w:cstheme="minorHAnsi"/>
          <w:lang w:val="en-US"/>
        </w:rPr>
        <w:t xml:space="preserve"> plus </w:t>
      </w:r>
      <w:proofErr w:type="spellStart"/>
      <w:r w:rsidRPr="00AB0FFA">
        <w:rPr>
          <w:rFonts w:cstheme="minorHAnsi"/>
          <w:lang w:val="en-US"/>
        </w:rPr>
        <w:t>bortezomib</w:t>
      </w:r>
      <w:proofErr w:type="spellEnd"/>
      <w:r w:rsidRPr="00AB0FFA">
        <w:rPr>
          <w:rFonts w:cstheme="minorHAnsi"/>
          <w:lang w:val="en-US"/>
        </w:rPr>
        <w:t xml:space="preserve"> and dexamethasone in relapsed/refractory MM. (Blood 2017)</w:t>
      </w:r>
    </w:p>
    <w:p w:rsidR="00AB0FFA" w:rsidRPr="00AB0FFA" w:rsidRDefault="00AB0FFA" w:rsidP="00AB0FFA">
      <w:pPr>
        <w:pStyle w:val="Listenabsatz"/>
        <w:numPr>
          <w:ilvl w:val="0"/>
          <w:numId w:val="21"/>
        </w:numPr>
        <w:spacing w:after="0" w:line="360" w:lineRule="auto"/>
        <w:ind w:right="454"/>
        <w:rPr>
          <w:rFonts w:cstheme="minorHAnsi"/>
          <w:lang w:val="en-US"/>
        </w:rPr>
      </w:pPr>
      <w:proofErr w:type="spellStart"/>
      <w:r w:rsidRPr="00AB0FFA">
        <w:rPr>
          <w:rFonts w:cstheme="minorHAnsi"/>
          <w:lang w:val="en-US"/>
        </w:rPr>
        <w:t>Touzeau</w:t>
      </w:r>
      <w:proofErr w:type="spellEnd"/>
      <w:r w:rsidRPr="00AB0FFA">
        <w:rPr>
          <w:rFonts w:cstheme="minorHAnsi"/>
          <w:lang w:val="en-US"/>
        </w:rPr>
        <w:t xml:space="preserve"> C, </w:t>
      </w:r>
      <w:proofErr w:type="spellStart"/>
      <w:r w:rsidRPr="00AB0FFA">
        <w:rPr>
          <w:rFonts w:cstheme="minorHAnsi"/>
          <w:lang w:val="en-US"/>
        </w:rPr>
        <w:t>Dousset</w:t>
      </w:r>
      <w:proofErr w:type="spellEnd"/>
      <w:r w:rsidRPr="00AB0FFA">
        <w:rPr>
          <w:rFonts w:cstheme="minorHAnsi"/>
          <w:lang w:val="en-US"/>
        </w:rPr>
        <w:t xml:space="preserve"> C, Le </w:t>
      </w:r>
      <w:proofErr w:type="spellStart"/>
      <w:r w:rsidRPr="00AB0FFA">
        <w:rPr>
          <w:rFonts w:cstheme="minorHAnsi"/>
          <w:lang w:val="en-US"/>
        </w:rPr>
        <w:t>Gouill</w:t>
      </w:r>
      <w:proofErr w:type="spellEnd"/>
      <w:r w:rsidRPr="00AB0FFA">
        <w:rPr>
          <w:rFonts w:cstheme="minorHAnsi"/>
          <w:lang w:val="en-US"/>
        </w:rPr>
        <w:t xml:space="preserve"> S, et al. The Bcl-2 specific BH3 mimetic ABT-199: a promising targeted therapy for </w:t>
      </w:r>
      <w:proofErr w:type="gramStart"/>
      <w:r w:rsidRPr="00AB0FFA">
        <w:rPr>
          <w:rFonts w:cstheme="minorHAnsi"/>
          <w:lang w:val="en-US"/>
        </w:rPr>
        <w:t>t(</w:t>
      </w:r>
      <w:proofErr w:type="gramEnd"/>
      <w:r w:rsidRPr="00AB0FFA">
        <w:rPr>
          <w:rFonts w:cstheme="minorHAnsi"/>
          <w:lang w:val="en-US"/>
        </w:rPr>
        <w:t>11;14) multiple myeloma. (Leukemia 2014)</w:t>
      </w:r>
    </w:p>
    <w:p w:rsidR="00DD4B09" w:rsidRPr="00AB0FFA" w:rsidRDefault="00AB0FFA" w:rsidP="00324B7D">
      <w:pPr>
        <w:pStyle w:val="Listenabsatz"/>
        <w:numPr>
          <w:ilvl w:val="0"/>
          <w:numId w:val="21"/>
        </w:numPr>
        <w:spacing w:after="0" w:line="360" w:lineRule="auto"/>
        <w:ind w:right="454"/>
        <w:jc w:val="both"/>
        <w:rPr>
          <w:rFonts w:cstheme="minorHAnsi"/>
          <w:lang w:val="en-US"/>
        </w:rPr>
      </w:pPr>
      <w:proofErr w:type="spellStart"/>
      <w:r w:rsidRPr="00AB0FFA">
        <w:rPr>
          <w:rFonts w:cstheme="minorHAnsi"/>
          <w:lang w:val="en-US"/>
        </w:rPr>
        <w:t>Touzeau</w:t>
      </w:r>
      <w:proofErr w:type="spellEnd"/>
      <w:r w:rsidRPr="00AB0FFA">
        <w:rPr>
          <w:rFonts w:cstheme="minorHAnsi"/>
          <w:lang w:val="en-US"/>
        </w:rPr>
        <w:t xml:space="preserve"> C, Ryan J, </w:t>
      </w:r>
      <w:proofErr w:type="spellStart"/>
      <w:r w:rsidRPr="00AB0FFA">
        <w:rPr>
          <w:rFonts w:cstheme="minorHAnsi"/>
          <w:lang w:val="en-US"/>
        </w:rPr>
        <w:t>Guerriero</w:t>
      </w:r>
      <w:proofErr w:type="spellEnd"/>
      <w:r w:rsidRPr="00AB0FFA">
        <w:rPr>
          <w:rFonts w:cstheme="minorHAnsi"/>
          <w:lang w:val="en-US"/>
        </w:rPr>
        <w:t xml:space="preserve"> J, et al. BH3 profiling identifies heterogeneous dependency on Bcl-2 Family members in multiple myeloma and predicts sensitivity to BH3 </w:t>
      </w:r>
      <w:proofErr w:type="spellStart"/>
      <w:r w:rsidRPr="00AB0FFA">
        <w:rPr>
          <w:rFonts w:cstheme="minorHAnsi"/>
          <w:lang w:val="en-US"/>
        </w:rPr>
        <w:t>mimetics</w:t>
      </w:r>
      <w:proofErr w:type="spellEnd"/>
      <w:r w:rsidRPr="00AB0FFA">
        <w:rPr>
          <w:rFonts w:cstheme="minorHAnsi"/>
          <w:lang w:val="en-US"/>
        </w:rPr>
        <w:t>. (Leukemia 2016)</w:t>
      </w:r>
    </w:p>
    <w:sectPr w:rsidR="00DD4B09" w:rsidRPr="00AB0FFA" w:rsidSect="004574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70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23" w:rsidRDefault="00836A23" w:rsidP="001938D3">
      <w:r>
        <w:separator/>
      </w:r>
    </w:p>
    <w:p w:rsidR="00836A23" w:rsidRDefault="00836A23" w:rsidP="001938D3"/>
  </w:endnote>
  <w:endnote w:type="continuationSeparator" w:id="0">
    <w:p w:rsidR="00836A23" w:rsidRDefault="00836A23" w:rsidP="001938D3">
      <w:r>
        <w:continuationSeparator/>
      </w:r>
    </w:p>
    <w:p w:rsidR="00836A23" w:rsidRDefault="00836A23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</w:tblGrid>
    <w:tr w:rsidR="004574D1" w:rsidRPr="00F807AE" w:rsidTr="005C3375">
      <w:tc>
        <w:tcPr>
          <w:tcW w:w="2693" w:type="dxa"/>
          <w:vAlign w:val="bottom"/>
        </w:tcPr>
        <w:p w:rsidR="004574D1" w:rsidRDefault="004574D1" w:rsidP="004574D1">
          <w:pPr>
            <w:pStyle w:val="FuzeileUKE"/>
          </w:pPr>
          <w:r w:rsidRPr="00CE369B">
            <w:rPr>
              <w:noProof/>
            </w:rPr>
            <w:drawing>
              <wp:anchor distT="0" distB="0" distL="114300" distR="114300" simplePos="0" relativeHeight="251670016" behindDoc="0" locked="0" layoutInCell="1" allowOverlap="1" wp14:anchorId="15326C18" wp14:editId="4A698832">
                <wp:simplePos x="0" y="0"/>
                <wp:positionH relativeFrom="column">
                  <wp:posOffset>5206365</wp:posOffset>
                </wp:positionH>
                <wp:positionV relativeFrom="paragraph">
                  <wp:posOffset>-6350</wp:posOffset>
                </wp:positionV>
                <wp:extent cx="1079500" cy="591820"/>
                <wp:effectExtent l="0" t="0" r="0" b="0"/>
                <wp:wrapNone/>
                <wp:docPr id="4" name="Grafik 4" descr="U:\Zentren\UCCH\Mitarbeiter\Kommunikation\Projekte\UCCH Facelift 2023\Logo\LOGO_UCC Hamburg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Zentren\UCCH\Mitarbeiter\Kommunikation\Projekte\UCCH Facelift 2023\Logo\LOGO_UCC Hamburg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  <w:r>
            <w:t xml:space="preserve">  </w:t>
          </w:r>
        </w:p>
        <w:p w:rsidR="004574D1" w:rsidRPr="00F807AE" w:rsidRDefault="004574D1" w:rsidP="004574D1">
          <w:pPr>
            <w:pStyle w:val="FuzeileUKE"/>
          </w:pPr>
          <w:r w:rsidRPr="00F807AE">
            <w:t>Universitätsklinikum Hamburg-Eppendorf</w:t>
          </w:r>
        </w:p>
      </w:tc>
    </w:tr>
  </w:tbl>
  <w:p w:rsidR="004574D1" w:rsidRDefault="004574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2693"/>
    </w:tblGrid>
    <w:tr w:rsidR="00463309" w:rsidTr="00836A2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2693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23" w:rsidRDefault="00836A23" w:rsidP="001938D3">
      <w:r>
        <w:separator/>
      </w:r>
    </w:p>
    <w:p w:rsidR="00836A23" w:rsidRDefault="00836A23" w:rsidP="001938D3"/>
  </w:footnote>
  <w:footnote w:type="continuationSeparator" w:id="0">
    <w:p w:rsidR="00836A23" w:rsidRDefault="00836A23" w:rsidP="001938D3">
      <w:r>
        <w:continuationSeparator/>
      </w:r>
    </w:p>
    <w:p w:rsidR="00836A23" w:rsidRDefault="00836A23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836A23">
      <w:trPr>
        <w:trHeight w:hRule="exact" w:val="426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BD9822" wp14:editId="6582459D">
                <wp:extent cx="270000" cy="2362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FFFFFF" w:themeColor="background1"/>
          </w:rPr>
          <w:alias w:val="Geschäftsbereich"/>
          <w:tag w:val=""/>
          <w:id w:val="-1435815868"/>
          <w:lock w:val="sdtLocked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:rsidR="00FA51DE" w:rsidRPr="00836A23" w:rsidRDefault="003336D5" w:rsidP="00B3751F">
              <w:pPr>
                <w:pStyle w:val="KopfzeileGeschftsbereichSeite2"/>
                <w:rPr>
                  <w:lang w:val="en-US"/>
                </w:rPr>
              </w:pPr>
              <w:r w:rsidRPr="003336D5">
                <w:rPr>
                  <w:color w:val="FFFFFF" w:themeColor="background1"/>
                </w:rPr>
                <w:t>Platzhalter</w:t>
              </w:r>
            </w:p>
          </w:tc>
        </w:sdtContent>
      </w:sdt>
      <w:tc>
        <w:tcPr>
          <w:tcW w:w="425" w:type="dxa"/>
          <w:vAlign w:val="bottom"/>
        </w:tcPr>
        <w:p w:rsidR="00FA51DE" w:rsidRPr="00836A23" w:rsidRDefault="00FA51DE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103" w:type="dxa"/>
          <w:vAlign w:val="bottom"/>
        </w:tcPr>
        <w:p w:rsidR="00FA51DE" w:rsidRPr="00E83357" w:rsidRDefault="00AB0FFA" w:rsidP="007A4D09">
          <w:pPr>
            <w:pStyle w:val="Seitenleiste"/>
          </w:pPr>
          <w:sdt>
            <w:sdtPr>
              <w:alias w:val="Titel"/>
              <w:tag w:val=""/>
              <w:id w:val="955995591"/>
              <w:lock w:val="sdtLocked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4D09">
                <w:t xml:space="preserve">     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 xml:space="preserve">eite </w:t>
          </w:r>
          <w:r w:rsidR="000D2D59">
            <w:fldChar w:fldCharType="begin"/>
          </w:r>
          <w:r w:rsidR="000D2D59">
            <w:instrText xml:space="preserve"> PAGE   \* MERGEFORMAT </w:instrText>
          </w:r>
          <w:r w:rsidR="000D2D59">
            <w:fldChar w:fldCharType="separate"/>
          </w:r>
          <w:r>
            <w:rPr>
              <w:noProof/>
            </w:rPr>
            <w:t>2</w:t>
          </w:r>
          <w:r w:rsidR="000D2D59">
            <w:fldChar w:fldCharType="end"/>
          </w:r>
          <w:r w:rsidR="00FA51DE" w:rsidRPr="00201EF0"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75A2F40" wp14:editId="29D35C9A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6B044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B38F7" w:rsidTr="0054722B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231CDA" wp14:editId="74169528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shd w:val="clear" w:color="auto" w:fill="FFFFFF" w:themeFill="background1"/>
          <w:vAlign w:val="bottom"/>
        </w:tcPr>
        <w:p w:rsidR="001A3B60" w:rsidRPr="0054722B" w:rsidRDefault="00AB0FFA" w:rsidP="003336D5">
          <w:pPr>
            <w:pStyle w:val="KopfzeileGeschftsbereich"/>
            <w:rPr>
              <w:color w:val="FFFFFF" w:themeColor="background1"/>
              <w:lang w:val="en-US"/>
            </w:rPr>
          </w:pPr>
          <w:sdt>
            <w:sdtPr>
              <w:rPr>
                <w:color w:val="FFFFFF" w:themeColor="background1"/>
                <w:lang w:val="en-US"/>
              </w:rPr>
              <w:alias w:val="Geschäftsbereich"/>
              <w:tag w:val=""/>
              <w:id w:val="-1199691007"/>
              <w:lock w:val="sdtLocked"/>
              <w:placeholder>
                <w:docPart w:val="01F8606620394D4EA8690FD4720DBB7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3336D5">
                <w:rPr>
                  <w:color w:val="FFFFFF" w:themeColor="background1"/>
                  <w:lang w:val="en-US"/>
                </w:rPr>
                <w:t>Platzhalter</w:t>
              </w:r>
            </w:sdtContent>
          </w:sdt>
        </w:p>
      </w:tc>
      <w:tc>
        <w:tcPr>
          <w:tcW w:w="425" w:type="dxa"/>
          <w:vAlign w:val="bottom"/>
        </w:tcPr>
        <w:p w:rsidR="001A3B60" w:rsidRPr="00836A23" w:rsidRDefault="001A3B60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217" w:type="dxa"/>
          <w:vAlign w:val="bottom"/>
        </w:tcPr>
        <w:p w:rsidR="001A3B60" w:rsidRPr="001B38F7" w:rsidRDefault="001B38F7" w:rsidP="00030C2B">
          <w:pPr>
            <w:pStyle w:val="Seitenleiste"/>
            <w:rPr>
              <w:sz w:val="20"/>
            </w:rPr>
          </w:pPr>
          <w:r w:rsidRPr="001B38F7">
            <w:rPr>
              <w:sz w:val="20"/>
            </w:rPr>
            <w:t>Stand 11/2024</w:t>
          </w: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30ABD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12B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3590E"/>
    <w:multiLevelType w:val="hybridMultilevel"/>
    <w:tmpl w:val="694ADD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D6124"/>
    <w:multiLevelType w:val="hybridMultilevel"/>
    <w:tmpl w:val="561283E6"/>
    <w:lvl w:ilvl="0" w:tplc="EA880BB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3EBA"/>
    <w:multiLevelType w:val="hybridMultilevel"/>
    <w:tmpl w:val="ED94EB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37654"/>
    <w:multiLevelType w:val="hybridMultilevel"/>
    <w:tmpl w:val="739A7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27FD9"/>
    <w:multiLevelType w:val="hybridMultilevel"/>
    <w:tmpl w:val="41769B04"/>
    <w:lvl w:ilvl="0" w:tplc="DDEE8290">
      <w:numFmt w:val="bullet"/>
      <w:lvlText w:val="•"/>
      <w:lvlJc w:val="left"/>
      <w:pPr>
        <w:ind w:left="1065" w:hanging="705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3D62"/>
    <w:multiLevelType w:val="hybridMultilevel"/>
    <w:tmpl w:val="3272CAA0"/>
    <w:lvl w:ilvl="0" w:tplc="A92C7EA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A59D6"/>
    <w:multiLevelType w:val="hybridMultilevel"/>
    <w:tmpl w:val="77FEB6CE"/>
    <w:lvl w:ilvl="0" w:tplc="241835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337CF"/>
    <w:multiLevelType w:val="hybridMultilevel"/>
    <w:tmpl w:val="9028EFA8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DF4671"/>
    <w:multiLevelType w:val="hybridMultilevel"/>
    <w:tmpl w:val="2A1E0F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16DEA"/>
    <w:multiLevelType w:val="hybridMultilevel"/>
    <w:tmpl w:val="A962BF4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13" w15:restartNumberingAfterBreak="0">
    <w:nsid w:val="462C4520"/>
    <w:multiLevelType w:val="hybridMultilevel"/>
    <w:tmpl w:val="2C3A2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5" w15:restartNumberingAfterBreak="0">
    <w:nsid w:val="4A944535"/>
    <w:multiLevelType w:val="hybridMultilevel"/>
    <w:tmpl w:val="68E20260"/>
    <w:lvl w:ilvl="0" w:tplc="DDEE8290">
      <w:numFmt w:val="bullet"/>
      <w:lvlText w:val="•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2D0AD0"/>
    <w:multiLevelType w:val="hybridMultilevel"/>
    <w:tmpl w:val="F998DE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C6B1A"/>
    <w:multiLevelType w:val="hybridMultilevel"/>
    <w:tmpl w:val="4BB0EB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E21B38"/>
    <w:multiLevelType w:val="hybridMultilevel"/>
    <w:tmpl w:val="6E0E86BC"/>
    <w:lvl w:ilvl="0" w:tplc="7B7249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F1E74"/>
    <w:multiLevelType w:val="hybridMultilevel"/>
    <w:tmpl w:val="6FA4857A"/>
    <w:lvl w:ilvl="0" w:tplc="2D34A5E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F64677"/>
    <w:multiLevelType w:val="hybridMultilevel"/>
    <w:tmpl w:val="585AE2C2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4"/>
  </w:num>
  <w:num w:numId="5">
    <w:abstractNumId w:val="13"/>
  </w:num>
  <w:num w:numId="6">
    <w:abstractNumId w:val="7"/>
  </w:num>
  <w:num w:numId="7">
    <w:abstractNumId w:val="19"/>
  </w:num>
  <w:num w:numId="8">
    <w:abstractNumId w:val="16"/>
  </w:num>
  <w:num w:numId="9">
    <w:abstractNumId w:val="2"/>
  </w:num>
  <w:num w:numId="10">
    <w:abstractNumId w:val="4"/>
  </w:num>
  <w:num w:numId="11">
    <w:abstractNumId w:val="18"/>
  </w:num>
  <w:num w:numId="12">
    <w:abstractNumId w:val="20"/>
  </w:num>
  <w:num w:numId="13">
    <w:abstractNumId w:val="11"/>
  </w:num>
  <w:num w:numId="14">
    <w:abstractNumId w:val="10"/>
  </w:num>
  <w:num w:numId="15">
    <w:abstractNumId w:val="6"/>
  </w:num>
  <w:num w:numId="16">
    <w:abstractNumId w:val="9"/>
  </w:num>
  <w:num w:numId="17">
    <w:abstractNumId w:val="1"/>
  </w:num>
  <w:num w:numId="18">
    <w:abstractNumId w:val="3"/>
  </w:num>
  <w:num w:numId="19">
    <w:abstractNumId w:val="17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3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94F92"/>
    <w:rsid w:val="000A2D70"/>
    <w:rsid w:val="000A5322"/>
    <w:rsid w:val="000B1005"/>
    <w:rsid w:val="000B340B"/>
    <w:rsid w:val="000D1C4B"/>
    <w:rsid w:val="000D2D59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091"/>
    <w:rsid w:val="00186A0E"/>
    <w:rsid w:val="00190EB5"/>
    <w:rsid w:val="001938D3"/>
    <w:rsid w:val="001A3B60"/>
    <w:rsid w:val="001A74D8"/>
    <w:rsid w:val="001A7ED9"/>
    <w:rsid w:val="001B38F7"/>
    <w:rsid w:val="001B3BEB"/>
    <w:rsid w:val="001C27EF"/>
    <w:rsid w:val="001C39A5"/>
    <w:rsid w:val="001D123E"/>
    <w:rsid w:val="001D2744"/>
    <w:rsid w:val="001D5C26"/>
    <w:rsid w:val="001E0B0A"/>
    <w:rsid w:val="001E4CE5"/>
    <w:rsid w:val="001E70B0"/>
    <w:rsid w:val="001F0383"/>
    <w:rsid w:val="001F46A8"/>
    <w:rsid w:val="001F6D70"/>
    <w:rsid w:val="00200D8A"/>
    <w:rsid w:val="00201EF0"/>
    <w:rsid w:val="00213F8A"/>
    <w:rsid w:val="0022115F"/>
    <w:rsid w:val="00222507"/>
    <w:rsid w:val="00232571"/>
    <w:rsid w:val="00233528"/>
    <w:rsid w:val="0026056C"/>
    <w:rsid w:val="00274B44"/>
    <w:rsid w:val="002765B5"/>
    <w:rsid w:val="0028084F"/>
    <w:rsid w:val="0028363B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1F20"/>
    <w:rsid w:val="003336D5"/>
    <w:rsid w:val="003343DA"/>
    <w:rsid w:val="00347517"/>
    <w:rsid w:val="00356BDA"/>
    <w:rsid w:val="003657C6"/>
    <w:rsid w:val="0037065B"/>
    <w:rsid w:val="0037626B"/>
    <w:rsid w:val="00384843"/>
    <w:rsid w:val="003855F6"/>
    <w:rsid w:val="003865D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AA5"/>
    <w:rsid w:val="004342E3"/>
    <w:rsid w:val="004354B6"/>
    <w:rsid w:val="0044506A"/>
    <w:rsid w:val="00451DF5"/>
    <w:rsid w:val="004521DB"/>
    <w:rsid w:val="004574D1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4F37A9"/>
    <w:rsid w:val="00502791"/>
    <w:rsid w:val="00515779"/>
    <w:rsid w:val="00532636"/>
    <w:rsid w:val="00542A19"/>
    <w:rsid w:val="0054722B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974FB"/>
    <w:rsid w:val="005A46DD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13A95"/>
    <w:rsid w:val="00733DF5"/>
    <w:rsid w:val="00741D77"/>
    <w:rsid w:val="00741E9A"/>
    <w:rsid w:val="007427C6"/>
    <w:rsid w:val="00750C7C"/>
    <w:rsid w:val="00755671"/>
    <w:rsid w:val="00757807"/>
    <w:rsid w:val="00780E55"/>
    <w:rsid w:val="00786FE0"/>
    <w:rsid w:val="00791A8D"/>
    <w:rsid w:val="007A08DD"/>
    <w:rsid w:val="007A0E4E"/>
    <w:rsid w:val="007A3256"/>
    <w:rsid w:val="007A4D09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36A23"/>
    <w:rsid w:val="00842728"/>
    <w:rsid w:val="00867949"/>
    <w:rsid w:val="00867B92"/>
    <w:rsid w:val="00875785"/>
    <w:rsid w:val="0089130A"/>
    <w:rsid w:val="008A07F0"/>
    <w:rsid w:val="008A7870"/>
    <w:rsid w:val="008B4A9B"/>
    <w:rsid w:val="008C56B8"/>
    <w:rsid w:val="008C78D6"/>
    <w:rsid w:val="008C7EA9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D5DC1"/>
    <w:rsid w:val="009E1C07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0FFA"/>
    <w:rsid w:val="00AB6C01"/>
    <w:rsid w:val="00AD2306"/>
    <w:rsid w:val="00AD7E20"/>
    <w:rsid w:val="00AF1F5F"/>
    <w:rsid w:val="00AF2B85"/>
    <w:rsid w:val="00AF7B6A"/>
    <w:rsid w:val="00B04B45"/>
    <w:rsid w:val="00B170BA"/>
    <w:rsid w:val="00B21EC2"/>
    <w:rsid w:val="00B26990"/>
    <w:rsid w:val="00B32866"/>
    <w:rsid w:val="00B3751F"/>
    <w:rsid w:val="00B537BB"/>
    <w:rsid w:val="00B65A44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BF2DD9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31D8"/>
    <w:rsid w:val="00CA038C"/>
    <w:rsid w:val="00CA62FC"/>
    <w:rsid w:val="00CB2E18"/>
    <w:rsid w:val="00CC20D0"/>
    <w:rsid w:val="00CC2A77"/>
    <w:rsid w:val="00CC3153"/>
    <w:rsid w:val="00CD3B18"/>
    <w:rsid w:val="00CD5603"/>
    <w:rsid w:val="00CD6EAD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3844"/>
    <w:rsid w:val="00D668D8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D4B09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AF9C584"/>
  <w15:docId w15:val="{393EA232-857D-4875-8277-B63D522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customStyle="1" w:styleId="Markierung">
    <w:name w:val="Markierung"/>
    <w:basedOn w:val="Absatz-Standardschriftart"/>
    <w:uiPriority w:val="1"/>
    <w:qFormat/>
    <w:rsid w:val="004574D1"/>
    <w:rPr>
      <w:rFonts w:asciiTheme="minorHAnsi" w:hAnsiTheme="minorHAnsi" w:cs="Arial"/>
      <w:bdr w:val="none" w:sz="0" w:space="0" w:color="auto"/>
      <w:shd w:val="clear" w:color="auto" w:fill="E8F6CF" w:themeFill="accent4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ehman\Downloads\standard-formular_aa_uk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F8606620394D4EA8690FD4720DB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F8561-332A-425D-9F0A-17EF8032BE3D}"/>
      </w:docPartPr>
      <w:docPartBody>
        <w:p w:rsidR="004E610C" w:rsidRDefault="004E610C">
          <w:pPr>
            <w:pStyle w:val="01F8606620394D4EA8690FD4720DBB7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0C"/>
    <w:rsid w:val="004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1F8606620394D4EA8690FD4720DBB78">
    <w:name w:val="01F8606620394D4EA8690FD4720DB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3F2B-2BE6-45DE-85DF-697E6B3B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standard-formular_aa_uke (3)</Template>
  <TotalTime>0</TotalTime>
  <Pages>2</Pages>
  <Words>695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Platzhalter</dc:subject>
  <dc:creator>Lehmann, Laura</dc:creator>
  <cp:lastModifiedBy>Schlüter, Janina</cp:lastModifiedBy>
  <cp:revision>2</cp:revision>
  <cp:lastPrinted>2016-08-15T13:52:00Z</cp:lastPrinted>
  <dcterms:created xsi:type="dcterms:W3CDTF">2024-11-19T12:36:00Z</dcterms:created>
  <dcterms:modified xsi:type="dcterms:W3CDTF">2024-11-19T12:36:00Z</dcterms:modified>
</cp:coreProperties>
</file>