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8C7EA9" w:rsidP="004574D1">
      <w:pPr>
        <w:pStyle w:val="Zwischenberschrift"/>
      </w:pPr>
      <w:r w:rsidRPr="00B531D3">
        <w:t>Nivo Ipi – Mesotheliom</w:t>
      </w:r>
      <w:r w:rsidRPr="00B531D3">
        <w:tab/>
      </w:r>
      <w:r w:rsidRPr="00B531D3">
        <w:tab/>
      </w:r>
      <w:r w:rsidRPr="00B531D3">
        <w:tab/>
      </w:r>
      <w:r w:rsidR="007A4D09" w:rsidRPr="005D3E33">
        <w:tab/>
      </w:r>
      <w:r w:rsidR="007A4D09">
        <w:tab/>
      </w:r>
      <w:r w:rsidR="009D5DC1"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8C7EA9" w:rsidRPr="0077541B" w:rsidRDefault="004574D1" w:rsidP="008C7EA9">
      <w:pPr>
        <w:spacing w:after="0" w:line="360" w:lineRule="auto"/>
        <w:jc w:val="both"/>
        <w:rPr>
          <w:rFonts w:cstheme="minorHAnsi"/>
        </w:rPr>
      </w:pPr>
      <w:r w:rsidRPr="004556EC">
        <w:rPr>
          <w:rFonts w:cstheme="minorHAnsi"/>
        </w:rPr>
        <w:t xml:space="preserve">Antrag auf Kostenübernahme </w:t>
      </w:r>
      <w:r w:rsidR="007A4D09">
        <w:rPr>
          <w:rFonts w:cstheme="minorHAnsi"/>
        </w:rPr>
        <w:t xml:space="preserve">für </w:t>
      </w:r>
      <w:r w:rsidR="008C7EA9" w:rsidRPr="0077541B">
        <w:rPr>
          <w:rFonts w:cstheme="minorHAnsi"/>
        </w:rPr>
        <w:t>die immunologische Therapie mit Ipilimumab/Nivolumab analog der</w:t>
      </w:r>
    </w:p>
    <w:p w:rsidR="008C7EA9" w:rsidRPr="0077541B" w:rsidRDefault="008C7EA9" w:rsidP="008C7EA9">
      <w:pPr>
        <w:spacing w:after="0" w:line="360" w:lineRule="auto"/>
        <w:jc w:val="both"/>
        <w:rPr>
          <w:rFonts w:cstheme="minorHAnsi"/>
        </w:rPr>
      </w:pPr>
      <w:r w:rsidRPr="0077541B">
        <w:rPr>
          <w:rFonts w:cstheme="minorHAnsi"/>
        </w:rPr>
        <w:t>Zulassung bei pleuralen Mesotheliomen bei rezidivierten und nicht resektablen peritonealen epitheloiden</w:t>
      </w:r>
    </w:p>
    <w:p w:rsidR="004574D1" w:rsidRPr="00975FD4" w:rsidRDefault="008C7EA9" w:rsidP="0089130A">
      <w:pPr>
        <w:spacing w:after="0" w:line="360" w:lineRule="auto"/>
        <w:jc w:val="both"/>
      </w:pPr>
      <w:r w:rsidRPr="0077541B">
        <w:rPr>
          <w:rFonts w:cstheme="minorHAnsi"/>
        </w:rPr>
        <w:t>Mesotheliom, Astbest-assoziiert</w:t>
      </w:r>
      <w:bookmarkStart w:id="0" w:name="_GoBack"/>
      <w:bookmarkEnd w:id="0"/>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8A07F0" w:rsidRPr="00391CC9" w:rsidRDefault="008A07F0" w:rsidP="004574D1">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Hiermit möchten wir Sie um Kostenübernahme für den PDL-1 bzw. CTLA-4 gerichtete Antikörper Nivolumab/Ipilimumab zur weiteren Systemtherapie in Kombination mit der Erstlinientherapie Nivolumab/Ipilimumab bitten.</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Style w:val="Markierung"/>
        </w:rPr>
      </w:pPr>
      <w:r w:rsidRPr="0077541B">
        <w:rPr>
          <w:rStyle w:val="Markierung"/>
        </w:rPr>
        <w:t>Patient:in</w:t>
      </w:r>
    </w:p>
    <w:p w:rsidR="008C7EA9" w:rsidRPr="0077541B" w:rsidRDefault="008C7EA9" w:rsidP="008C7EA9">
      <w:pPr>
        <w:spacing w:after="0" w:line="360" w:lineRule="auto"/>
        <w:ind w:right="454"/>
        <w:jc w:val="both"/>
        <w:rPr>
          <w:rStyle w:val="Markierung"/>
        </w:rPr>
      </w:pPr>
      <w:r w:rsidRPr="0077541B">
        <w:rPr>
          <w:rStyle w:val="Markierung"/>
        </w:rPr>
        <w:t xml:space="preserve">Name: </w:t>
      </w:r>
    </w:p>
    <w:p w:rsidR="008C7EA9" w:rsidRPr="0077541B" w:rsidRDefault="008C7EA9" w:rsidP="008C7EA9">
      <w:pPr>
        <w:spacing w:after="0" w:line="360" w:lineRule="auto"/>
        <w:ind w:right="454"/>
        <w:jc w:val="both"/>
        <w:rPr>
          <w:rStyle w:val="Markierung"/>
        </w:rPr>
      </w:pPr>
      <w:r w:rsidRPr="0077541B">
        <w:rPr>
          <w:rStyle w:val="Markierung"/>
        </w:rPr>
        <w:t xml:space="preserve">Adresse: </w:t>
      </w:r>
    </w:p>
    <w:p w:rsidR="008C7EA9" w:rsidRPr="0077541B" w:rsidRDefault="008C7EA9" w:rsidP="008C7EA9">
      <w:pPr>
        <w:spacing w:after="0" w:line="360" w:lineRule="auto"/>
        <w:ind w:right="454"/>
        <w:jc w:val="both"/>
        <w:rPr>
          <w:rStyle w:val="Markierung"/>
        </w:rPr>
      </w:pPr>
      <w:r w:rsidRPr="0077541B">
        <w:rPr>
          <w:rStyle w:val="Markierung"/>
        </w:rPr>
        <w:t xml:space="preserve">Versicherten Nummer: </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Style w:val="Markierung"/>
        </w:rPr>
      </w:pPr>
      <w:r w:rsidRPr="0077541B">
        <w:rPr>
          <w:rStyle w:val="Markierung"/>
        </w:rPr>
        <w:t>Diagnosen</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Style w:val="Fett"/>
        </w:rPr>
      </w:pPr>
      <w:r w:rsidRPr="0077541B">
        <w:rPr>
          <w:rStyle w:val="Fett"/>
        </w:rPr>
        <w:t>Begründung</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 xml:space="preserve">Bei dem Patienten wurde ein Rezidiv des peritonealen Mesothelioms nach initialer onkologischer Resektio mit HIPEC bei Erstdiagnose im Mai 2023 diagnostiziert. Die Option einer kurativen Resektion besteht bei fortgeschrittenem Tumorleiden bedauerlicherweise nicht. Auf Grund des guten Allgemeinzustandes des Patienten und der aktiven Teilnahme am Sozialleben und dem verständlicherweise hohen Therapiewunsch des Patientens sollte angesichts der überzeugenden Daten der Phase III Checkmate-743-Studie analog der aktuell leitlinengerechten Therapiesequenz der pleuralen Mesotheliome auch bei dem Patienten eine Kombinations-Immuncheckpointblockade mit Nivolumab/Ipilimumab eingeleitet werden. </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Bei Progress oder Intoleranz bestünde dann die Möglichkeit, analog des Vorgehens bei pleuralem Mesotheliom, eine Chemotherapie mit Carboplatin (anstelle Cisplatin bei bekannter chronischer Nierenfunktionsstörung) und Permetrexed einzuleiten.</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lastRenderedPageBreak/>
        <w:t xml:space="preserve">Aufgrund der geringen Inzidenz peritonealer im Vergleich zu pleuralen Mesotheliomen erfolgten klinische Studien zur Immuntherapie nur bei pleuralen Mesotheliomen. Die randomisierte Multicenter-Studie CheckMate-743 konnte zeigen, dass Patienten mit einem pleuralen nicht operablen Mesotheliom mit Nivolumab in Kombination mit Ipilimumab (n=303 Patienten) im Vergleich zu Patienten mit alleiniger Chemotherapie (n=302 Patienten) ein signifikant längeres Überleben erreichten (medianes Gesamtüberleben 18,1 Monate (95% CI 16,8–21,4 vs 14,1 Monate (12,4–16,2); hazard ratio 0,74 (96,6% CI 0,60–0,91); p=0,0020). Es ist hochwahrscheinlich, dass sich diese Daten auch auf das peritoneale Mesotheliom übertragen lassen. </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Beim nicht-resezierbaren pleuralen Mesotheliom zeigte die Kombination aus Nivolumab und Ipilimumab in einer randomisierten Phase-III-Studie eine Überlegenheit im Vergleich zu einer Chemotherapie aus Platin und Pemetrexed in Bezug auf das Gesamtüberleben und die 3-Jahres-Überlebensraten, die zur Zulassung von Nivolumab in Kombination mit Ipilimumab in dieser Indikation geführt haben [1]. Beim peritonealen Mesotheliom ist damit ebenfalls von einer Wirksamkeit einer Immuntherapie auszugehen. Diesbezüglich liegen für die Zweitlinientherapie für die Kombination aus Tremelimumab und Durvalumab [2] sowie Bevacizumab und Atezolimab [3] erste vielversprechende Daten aus kleinen Fallserien vor.</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Bei Pat. mit epitheloider Histologie war das mittlere Gesamtüberleben im Vergleich zu einer Therapie mit Cisplatin/Carboplatin und Pemetrexed tendenziell, aber nicht statistisch signifikant, besser und betrug 18,7 Monate im Checkpoint-Inhibitor-Arm und 16,5 Monate im Chemotherapie-Arm (HR: 0,86). Für das gesamte Patientenkollektiv war das mittlere Gesamtüberleben mit 18,1 vs. 14,1 (HR: 0,74; p-Wert = 0,002) Monaten im Immuntherapie-Arm ebenfalls länger als im Chemotherapie-Arm.</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Die mittlere Dauer des Therapieansprechens betrug im gesamten Patientenkollektiv 11,0 Monate im Checkpoint-Inhibitor-Arm und 6,7 Monate im Chemotherapie-Arm, so dass Pat. von einem Ansprechen auf die Checkpoint-Inhibitortherapie länger profitierten. In beiden Studienarmen war die objektive Ansprechrate vergleichbar mit 40% im Checkpoint-Inhibitor-Arm und 43% im Chemotherapie-Arm.</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Im Rahmen der CheckMate743-Studie zeigten sich im Checkpoint-Inhibitor-Arm im Vergleich zum Chemotherapie-Arm eine bessere Kontrolle von den krankheitsassoziierten Symptomen Anorexie (HR: 0,51), Fatigue (HR: 0,43), Schmerz (0,55), Dyspnoe (HR: 0,75) und Husten (HR: 0,78) und eine bessere generelle Lebensqualität gemessen in den standardisierten Fragebögen LCSS-Meso ASBI (HR: 0,52) und LCSS-Meso 3-IGI (HR: 0,61) [4, 5].</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 xml:space="preserve">Da die Studie den primären Endpunkt (Verbesserung des Gesamtüberlebens in der gesamten Studienpopulation) erreichte, Pat. von der Möglichkeit eines länger anhaltenden Therapieansprechens profitieren können und die Symptomkontrolle und Lebensqualität im Checkpoint-Inhibitor-Arm vorteilhafter war, kann eine Therapie mit Nivolumab und Ipilimumab als mögliche Therapieoption für beide histologische Subtypen angedacht werden. </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Die Kriterien für einen Einsatz von Ipilimumab/Nivolumab bei dem oben genannten Patienten sind nach unserer Einschätzung erfüllt:</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Es handelt sich um eine schwerwiegende und die Lebensqualität nachhaltig beeinträchtigende Erkrankung</w:t>
      </w:r>
    </w:p>
    <w:p w:rsidR="008C7EA9" w:rsidRPr="0077541B" w:rsidRDefault="008C7EA9" w:rsidP="008C7EA9">
      <w:pPr>
        <w:spacing w:after="0" w:line="360" w:lineRule="auto"/>
        <w:ind w:right="454"/>
        <w:jc w:val="both"/>
        <w:rPr>
          <w:rFonts w:cstheme="minorHAnsi"/>
        </w:rPr>
      </w:pPr>
      <w:r w:rsidRPr="0077541B">
        <w:rPr>
          <w:rFonts w:cstheme="minorHAnsi"/>
        </w:rPr>
        <w:t>Aufgrund der Datenlage besteht die begründete Aussicht, dass Ipilimumab/Nivolumab ein im Vergleich zur Standardtherapie Carboplatin/Pertetrexed einen besseren Behandlungserfolg erzielt werden kann. Dies zeigen die Daten der Checkmate-743-Studie</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 xml:space="preserve">Verordnung und Kosten: </w:t>
      </w:r>
    </w:p>
    <w:p w:rsidR="008C7EA9" w:rsidRPr="0077541B" w:rsidRDefault="008C7EA9" w:rsidP="008C7EA9">
      <w:pPr>
        <w:spacing w:after="0" w:line="360" w:lineRule="auto"/>
        <w:ind w:right="454"/>
        <w:jc w:val="both"/>
        <w:rPr>
          <w:rFonts w:cstheme="minorHAnsi"/>
        </w:rPr>
      </w:pPr>
      <w:r w:rsidRPr="0077541B">
        <w:rPr>
          <w:rFonts w:cstheme="minorHAnsi"/>
        </w:rPr>
        <w:t>Speziell soll folgendes Arzneimittel verordnet werden:</w:t>
      </w:r>
    </w:p>
    <w:p w:rsidR="008C7EA9" w:rsidRPr="0077541B" w:rsidRDefault="008C7EA9" w:rsidP="008C7EA9">
      <w:pPr>
        <w:spacing w:after="0" w:line="360" w:lineRule="auto"/>
        <w:ind w:right="454"/>
        <w:jc w:val="both"/>
        <w:rPr>
          <w:rFonts w:cstheme="minorHAnsi"/>
        </w:rPr>
      </w:pPr>
      <w:r w:rsidRPr="0077541B">
        <w:rPr>
          <w:rFonts w:cstheme="minorHAnsi"/>
        </w:rPr>
        <w:t xml:space="preserve">Ipilimumab/Nivolumab in der Dosierung von Nivolumab (3 mg/kg i.v. alle 2 Wochen, entsprechen </w:t>
      </w:r>
      <w:r w:rsidRPr="0077541B">
        <w:rPr>
          <w:rStyle w:val="Markierung"/>
        </w:rPr>
        <w:t>183 mg</w:t>
      </w:r>
      <w:r w:rsidRPr="0077541B">
        <w:rPr>
          <w:rFonts w:cstheme="minorHAnsi"/>
        </w:rPr>
        <w:t xml:space="preserve"> absolut) plus ipilimumab (1 mg/kg i.v. alle 2 Wochen, entsprechen </w:t>
      </w:r>
      <w:r w:rsidRPr="0077541B">
        <w:rPr>
          <w:rStyle w:val="Markierung"/>
        </w:rPr>
        <w:t>61 mg</w:t>
      </w:r>
      <w:r w:rsidRPr="0077541B">
        <w:rPr>
          <w:rFonts w:cstheme="minorHAnsi"/>
        </w:rPr>
        <w:t xml:space="preserve"> absolut) für bis zu zwei Jahre (entsprechend der oben genannten Studie).</w:t>
      </w:r>
    </w:p>
    <w:p w:rsidR="008C7EA9" w:rsidRPr="0077541B" w:rsidRDefault="008C7EA9" w:rsidP="008C7EA9">
      <w:pPr>
        <w:spacing w:after="0" w:line="360" w:lineRule="auto"/>
        <w:ind w:right="454"/>
        <w:jc w:val="both"/>
        <w:rPr>
          <w:rFonts w:cstheme="minorHAnsi"/>
        </w:rPr>
      </w:pPr>
      <w:r w:rsidRPr="0077541B">
        <w:rPr>
          <w:rFonts w:cstheme="minorHAnsi"/>
        </w:rPr>
        <w:t>Preis: ca. 2400 € + 4200€ pro Infusion</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 xml:space="preserve">Wir bitten um dringliche Bearbeitung dieser Angelegenheit. Für Rückfragen stehe ich unter der Telefonnummer </w:t>
      </w:r>
      <w:r w:rsidRPr="0077541B">
        <w:rPr>
          <w:rStyle w:val="Markierung"/>
        </w:rPr>
        <w:t>XXX</w:t>
      </w:r>
      <w:r w:rsidRPr="0077541B">
        <w:rPr>
          <w:rFonts w:cstheme="minorHAnsi"/>
        </w:rPr>
        <w:t xml:space="preserve"> oder der E-Mail-Adresse </w:t>
      </w:r>
      <w:r w:rsidRPr="0077541B">
        <w:rPr>
          <w:rStyle w:val="Markierung"/>
        </w:rPr>
        <w:t>xxx</w:t>
      </w:r>
      <w:r w:rsidRPr="0077541B">
        <w:rPr>
          <w:rFonts w:cstheme="minorHAnsi"/>
        </w:rPr>
        <w:t xml:space="preserve"> jederzeit gerne zur Verfügung.</w:t>
      </w:r>
    </w:p>
    <w:p w:rsidR="008C7EA9" w:rsidRPr="0077541B" w:rsidRDefault="008C7EA9" w:rsidP="008C7EA9">
      <w:pPr>
        <w:spacing w:after="0" w:line="360" w:lineRule="auto"/>
        <w:ind w:right="454"/>
        <w:jc w:val="both"/>
        <w:rPr>
          <w:rFonts w:cstheme="minorHAnsi"/>
        </w:rPr>
      </w:pPr>
    </w:p>
    <w:p w:rsidR="008C7EA9" w:rsidRPr="0077541B" w:rsidRDefault="008C7EA9" w:rsidP="008C7EA9">
      <w:pPr>
        <w:spacing w:after="0" w:line="360" w:lineRule="auto"/>
        <w:ind w:right="454"/>
        <w:jc w:val="both"/>
        <w:rPr>
          <w:rFonts w:cstheme="minorHAnsi"/>
        </w:rPr>
      </w:pPr>
      <w:r w:rsidRPr="0077541B">
        <w:rPr>
          <w:rFonts w:cstheme="minorHAnsi"/>
        </w:rPr>
        <w:t xml:space="preserve">Ich bitte Sie, uns ihre Entscheidung bezüglich der Kostenübernahme an die Faxnummer </w:t>
      </w:r>
      <w:r w:rsidRPr="0077541B">
        <w:rPr>
          <w:rStyle w:val="Markierung"/>
        </w:rPr>
        <w:t>040-7410-52849</w:t>
      </w:r>
      <w:r w:rsidRPr="0077541B">
        <w:rPr>
          <w:rFonts w:cstheme="minorHAnsi"/>
        </w:rPr>
        <w:t xml:space="preserve"> (Onkologische Ambulanz UKE) zu schicken.</w:t>
      </w:r>
    </w:p>
    <w:p w:rsidR="001B38F7" w:rsidRPr="001B38F7" w:rsidRDefault="001B38F7" w:rsidP="001B38F7">
      <w:pPr>
        <w:rPr>
          <w:rFonts w:cstheme="minorHAnsi"/>
        </w:rPr>
      </w:pPr>
    </w:p>
    <w:p w:rsidR="00836A23" w:rsidRDefault="004574D1" w:rsidP="004574D1">
      <w:pPr>
        <w:spacing w:after="0" w:line="360" w:lineRule="auto"/>
        <w:ind w:right="454"/>
        <w:jc w:val="both"/>
        <w:rPr>
          <w:rFonts w:cstheme="minorHAnsi"/>
        </w:rPr>
      </w:pPr>
      <w:r w:rsidRPr="00391CC9">
        <w:rPr>
          <w:rFonts w:cstheme="minorHAnsi"/>
        </w:rPr>
        <w:t>Mit bestem Dank für Ihre Mühe und freundlichen Grüßen</w:t>
      </w:r>
    </w:p>
    <w:p w:rsidR="008C7EA9" w:rsidRDefault="008C7EA9" w:rsidP="004574D1">
      <w:pPr>
        <w:spacing w:after="0" w:line="360" w:lineRule="auto"/>
        <w:ind w:right="454"/>
        <w:jc w:val="both"/>
        <w:rPr>
          <w:rFonts w:cstheme="minorHAnsi"/>
        </w:rPr>
      </w:pPr>
    </w:p>
    <w:p w:rsidR="008C7EA9" w:rsidRPr="00780E55" w:rsidRDefault="008C7EA9" w:rsidP="008C7EA9">
      <w:pPr>
        <w:spacing w:after="0" w:line="360" w:lineRule="auto"/>
        <w:ind w:right="454"/>
        <w:jc w:val="both"/>
        <w:rPr>
          <w:b/>
          <w:bCs/>
          <w:lang w:val="en-US"/>
        </w:rPr>
      </w:pPr>
      <w:r w:rsidRPr="00780E55">
        <w:rPr>
          <w:rStyle w:val="Fett"/>
          <w:lang w:val="en-US"/>
        </w:rPr>
        <w:t xml:space="preserve">Referenz: </w:t>
      </w:r>
    </w:p>
    <w:p w:rsidR="008C7EA9" w:rsidRPr="0077541B" w:rsidRDefault="008C7EA9" w:rsidP="008C7EA9">
      <w:pPr>
        <w:spacing w:after="0" w:line="360" w:lineRule="auto"/>
        <w:ind w:right="454"/>
        <w:jc w:val="both"/>
        <w:rPr>
          <w:rFonts w:cstheme="minorHAnsi"/>
          <w:lang w:val="en-US"/>
        </w:rPr>
      </w:pPr>
      <w:r w:rsidRPr="0077541B">
        <w:rPr>
          <w:rFonts w:cstheme="minorHAnsi"/>
          <w:lang w:val="en-US"/>
        </w:rPr>
        <w:t>1) Katirtzoglou N, Gkiozos I, Makrilia N et al.: Carboplatin plus pemetrexed as first-line treatment of patients with malignant pleural mesothelioma: a phase II study. Clin Lung Cancer 11:30-35, 2010. DOI:10.3816/CLC.2010.n.005</w:t>
      </w:r>
    </w:p>
    <w:p w:rsidR="008C7EA9" w:rsidRPr="0077541B" w:rsidRDefault="008C7EA9" w:rsidP="008C7EA9">
      <w:pPr>
        <w:spacing w:after="0" w:line="360" w:lineRule="auto"/>
        <w:ind w:right="454"/>
        <w:jc w:val="both"/>
        <w:rPr>
          <w:rFonts w:cstheme="minorHAnsi"/>
          <w:lang w:val="en-US"/>
        </w:rPr>
      </w:pPr>
      <w:r w:rsidRPr="0077541B">
        <w:rPr>
          <w:rFonts w:cstheme="minorHAnsi"/>
          <w:lang w:val="en-US"/>
        </w:rPr>
        <w:t>2) Zucali PA, Perrino M, Lorenzi E, et al.: Vinorelbine in pemetrexed-pretreated patients with malignant pleural mesothelioma. Lung Cancer 84: 265-270, 2014. DOI:10.1016/j.lungcan.2013.11.011</w:t>
      </w:r>
    </w:p>
    <w:p w:rsidR="008C7EA9" w:rsidRPr="0077541B" w:rsidRDefault="008C7EA9" w:rsidP="008C7EA9">
      <w:pPr>
        <w:spacing w:after="0" w:line="360" w:lineRule="auto"/>
        <w:ind w:right="454"/>
        <w:jc w:val="both"/>
        <w:rPr>
          <w:rFonts w:cstheme="minorHAnsi"/>
          <w:lang w:val="en-US"/>
        </w:rPr>
      </w:pPr>
      <w:r w:rsidRPr="0077541B">
        <w:rPr>
          <w:rFonts w:cstheme="minorHAnsi"/>
          <w:lang w:val="en-US"/>
        </w:rPr>
        <w:t>3) Pagano M. et al.: Randomized Phase II Study on Gemcitabine with or without Ramucirumab as second-line treatment for advanced Malignant Pleural Mesothelioma (MPM) Results of Italian RAMES Study presented by ASCO Annual Meeting 2020. Randomized phase II study on gemcitabine with or without ramucirumab as second-line treatment for advanced malignant pleural mesothelioma (MPM): Results of Italian Rames Study. | Journal of Clinical Oncology (ascopubs.org)</w:t>
      </w:r>
    </w:p>
    <w:p w:rsidR="008C7EA9" w:rsidRPr="0077541B" w:rsidRDefault="008C7EA9" w:rsidP="008C7EA9">
      <w:pPr>
        <w:spacing w:after="0" w:line="360" w:lineRule="auto"/>
        <w:ind w:right="454"/>
        <w:jc w:val="both"/>
        <w:rPr>
          <w:rFonts w:cstheme="minorHAnsi"/>
          <w:lang w:val="en-US"/>
        </w:rPr>
      </w:pPr>
      <w:r w:rsidRPr="0077541B">
        <w:rPr>
          <w:rFonts w:cstheme="minorHAnsi"/>
          <w:lang w:val="en-US"/>
        </w:rPr>
        <w:t>4) Popat S, et al: iMig Conference Presentation No 370, 2021</w:t>
      </w:r>
    </w:p>
    <w:p w:rsidR="008C7EA9" w:rsidRPr="0077541B" w:rsidRDefault="008C7EA9" w:rsidP="008C7EA9">
      <w:pPr>
        <w:spacing w:after="0" w:line="360" w:lineRule="auto"/>
        <w:ind w:right="454"/>
        <w:jc w:val="both"/>
        <w:rPr>
          <w:rFonts w:cstheme="minorHAnsi"/>
        </w:rPr>
      </w:pPr>
      <w:r w:rsidRPr="0077541B">
        <w:rPr>
          <w:rFonts w:cstheme="minorHAnsi"/>
          <w:lang w:val="en-US"/>
        </w:rPr>
        <w:lastRenderedPageBreak/>
        <w:t xml:space="preserve">5) Baas P, Scherpereel A, Nowak AK, Fujimoto N, Peters S, Tsao AS, Mansfield AS, Popat S, Jahan T, Antonia S, Oulkhouir Y, Bautista Y, Cornelissen R, Greillier L, Grossi F, Kowalski D, Rodríguez-Cid J, Aanur P, Oukessou A, Baudelet C, Zalcman G. First-line nivolumab plus ipilimumab in unresectable malignant pleural mesothelioma (CheckMate 743): a multicentre, randomised, open-label, phase 3 trial. Lancet. 2021 Jan 30;397(10272):375-386. doi: 10.1016/S0140-6736(20)32714-8. Epub 2021 Jan 21. Erratum in: Lancet. 2021 Feb 20;397(10275):670. </w:t>
      </w:r>
      <w:r w:rsidRPr="0077541B">
        <w:rPr>
          <w:rFonts w:cstheme="minorHAnsi"/>
        </w:rPr>
        <w:t>PMID: 33485464</w:t>
      </w:r>
    </w:p>
    <w:p w:rsidR="008C7EA9" w:rsidRDefault="008C7EA9" w:rsidP="004574D1">
      <w:pPr>
        <w:spacing w:after="0" w:line="360" w:lineRule="auto"/>
        <w:ind w:right="454"/>
        <w:jc w:val="both"/>
        <w:rPr>
          <w:rFonts w:cstheme="minorHAnsi"/>
        </w:rPr>
      </w:pPr>
    </w:p>
    <w:sectPr w:rsidR="008C7EA9" w:rsidSect="004574D1">
      <w:headerReference w:type="default" r:id="rId8"/>
      <w:footerReference w:type="default" r:id="rId9"/>
      <w:headerReference w:type="first" r:id="rId10"/>
      <w:footerReference w:type="first" r:id="rId11"/>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8C7EA9" w:rsidP="007A4D0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7A4D09">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4</w:t>
          </w:r>
          <w:r w:rsidR="000D2D59">
            <w:fldChar w:fldCharType="end"/>
          </w:r>
          <w:r w:rsidR="00FA51DE" w:rsidRPr="00201EF0">
            <w:t>/</w:t>
          </w:r>
          <w:r>
            <w:fldChar w:fldCharType="begin"/>
          </w:r>
          <w:r>
            <w:instrText xml:space="preserve"> NUMPAGES   \* MERGEFORMAT </w:instrText>
          </w:r>
          <w:r>
            <w:fldChar w:fldCharType="separate"/>
          </w:r>
          <w:r>
            <w:rPr>
              <w:noProof/>
            </w:rPr>
            <w:t>4</w:t>
          </w:r>
          <w:r>
            <w:rPr>
              <w:noProof/>
            </w:rPr>
            <w:fldChar w:fldCharType="end"/>
          </w:r>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8C7EA9"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0"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2"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5"/>
  </w:num>
  <w:num w:numId="3">
    <w:abstractNumId w:val="9"/>
  </w:num>
  <w:num w:numId="4">
    <w:abstractNumId w:val="11"/>
  </w:num>
  <w:num w:numId="5">
    <w:abstractNumId w:val="10"/>
  </w:num>
  <w:num w:numId="6">
    <w:abstractNumId w:val="4"/>
  </w:num>
  <w:num w:numId="7">
    <w:abstractNumId w:val="14"/>
  </w:num>
  <w:num w:numId="8">
    <w:abstractNumId w:val="12"/>
  </w:num>
  <w:num w:numId="9">
    <w:abstractNumId w:val="1"/>
  </w:num>
  <w:num w:numId="10">
    <w:abstractNumId w:val="2"/>
  </w:num>
  <w:num w:numId="11">
    <w:abstractNumId w:val="13"/>
  </w:num>
  <w:num w:numId="12">
    <w:abstractNumId w:val="15"/>
  </w:num>
  <w:num w:numId="13">
    <w:abstractNumId w:val="8"/>
  </w:num>
  <w:num w:numId="14">
    <w:abstractNumId w:val="7"/>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4D09"/>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C7EA9"/>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02B8E6"/>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CE18F-AF6C-41C1-8BD8-DA4A15897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4</Pages>
  <Words>932</Words>
  <Characters>6492</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2</cp:revision>
  <cp:lastPrinted>2016-08-15T13:52:00Z</cp:lastPrinted>
  <dcterms:created xsi:type="dcterms:W3CDTF">2024-11-19T12:19:00Z</dcterms:created>
  <dcterms:modified xsi:type="dcterms:W3CDTF">2024-11-19T12:19:00Z</dcterms:modified>
</cp:coreProperties>
</file>