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4D1" w:rsidRPr="00110446" w:rsidRDefault="004574D1" w:rsidP="004574D1">
      <w:pPr>
        <w:pStyle w:val="Zwischenberschrift"/>
      </w:pPr>
      <w:r w:rsidRPr="00110446">
        <w:t>UCCH Vorlage Kostenübernahmeantrag</w:t>
      </w:r>
    </w:p>
    <w:p w:rsidR="00780E55" w:rsidRPr="00780E55" w:rsidRDefault="00780E55" w:rsidP="00780E55">
      <w:pPr>
        <w:rPr>
          <w:color w:val="004992" w:themeColor="accent1"/>
          <w:sz w:val="28"/>
          <w:szCs w:val="32"/>
        </w:rPr>
      </w:pPr>
      <w:r>
        <w:rPr>
          <w:color w:val="004992" w:themeColor="accent1"/>
          <w:sz w:val="28"/>
          <w:szCs w:val="32"/>
        </w:rPr>
        <w:t xml:space="preserve">Für eine </w:t>
      </w:r>
      <w:r w:rsidRPr="00780E55">
        <w:rPr>
          <w:color w:val="004992" w:themeColor="accent1"/>
          <w:sz w:val="28"/>
          <w:szCs w:val="32"/>
        </w:rPr>
        <w:t>Therapie nach IMROZ-Schema bei Multiplem Myelom</w:t>
      </w:r>
    </w:p>
    <w:p w:rsidR="004574D1" w:rsidRPr="00110446" w:rsidRDefault="004574D1" w:rsidP="004574D1">
      <w:pPr>
        <w:pStyle w:val="Zwischenberschrift"/>
      </w:pPr>
      <w:r w:rsidRPr="0011044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574D1" w:rsidRDefault="004574D1" w:rsidP="004574D1">
      <w:pPr>
        <w:spacing w:after="0" w:line="360" w:lineRule="auto"/>
        <w:jc w:val="both"/>
      </w:pPr>
    </w:p>
    <w:p w:rsidR="004574D1" w:rsidRPr="006F725C" w:rsidRDefault="004574D1" w:rsidP="004574D1">
      <w:pPr>
        <w:spacing w:after="0" w:line="360" w:lineRule="auto"/>
        <w:jc w:val="both"/>
        <w:rPr>
          <w:rStyle w:val="Fett"/>
        </w:rPr>
      </w:pPr>
      <w:r w:rsidRPr="006F725C">
        <w:rPr>
          <w:rStyle w:val="Fett"/>
        </w:rPr>
        <w:t>Titel:</w:t>
      </w:r>
    </w:p>
    <w:p w:rsidR="004574D1" w:rsidRPr="00975FD4" w:rsidRDefault="004574D1" w:rsidP="00780E55">
      <w:r w:rsidRPr="004556EC">
        <w:rPr>
          <w:rFonts w:cstheme="minorHAnsi"/>
        </w:rPr>
        <w:t xml:space="preserve">Antrag auf Kostenübernahme </w:t>
      </w:r>
      <w:r w:rsidR="001B38F7">
        <w:rPr>
          <w:rFonts w:cstheme="minorHAnsi"/>
        </w:rPr>
        <w:t xml:space="preserve">einer </w:t>
      </w:r>
      <w:r w:rsidR="00780E55">
        <w:rPr>
          <w:rFonts w:cstheme="minorHAnsi"/>
        </w:rPr>
        <w:t xml:space="preserve">Therapie nach IMROZ-Schema bei Multiplem Myelom </w:t>
      </w:r>
      <w:r w:rsidRPr="004556EC">
        <w:rPr>
          <w:rFonts w:cstheme="minorHAnsi"/>
        </w:rPr>
        <w:t xml:space="preserve">bei </w:t>
      </w:r>
      <w:r w:rsidRPr="007F10A2">
        <w:rPr>
          <w:rStyle w:val="Markierung"/>
        </w:rPr>
        <w:t>der Patientin Frau</w:t>
      </w:r>
      <w:r w:rsidRPr="004556EC">
        <w:rPr>
          <w:rFonts w:cstheme="minorHAnsi"/>
        </w:rPr>
        <w:t xml:space="preserve"> , geb. am:  </w:t>
      </w:r>
      <w:r w:rsidRPr="007F10A2">
        <w:rPr>
          <w:rStyle w:val="Markierung"/>
        </w:rPr>
        <w:t>Versichertennummer</w:t>
      </w:r>
    </w:p>
    <w:p w:rsidR="004574D1" w:rsidRDefault="004574D1" w:rsidP="004574D1">
      <w:pPr>
        <w:spacing w:after="0" w:line="360" w:lineRule="auto"/>
        <w:jc w:val="both"/>
      </w:pPr>
    </w:p>
    <w:p w:rsidR="004574D1" w:rsidRPr="006F725C" w:rsidRDefault="004574D1" w:rsidP="004574D1">
      <w:pPr>
        <w:spacing w:after="0" w:line="360" w:lineRule="auto"/>
        <w:jc w:val="both"/>
        <w:rPr>
          <w:rStyle w:val="Fett"/>
        </w:rPr>
      </w:pPr>
      <w:r w:rsidRPr="006F725C">
        <w:rPr>
          <w:rStyle w:val="Fett"/>
        </w:rPr>
        <w:t>Inhalt:</w:t>
      </w:r>
    </w:p>
    <w:p w:rsidR="004574D1" w:rsidRPr="00634EF7" w:rsidRDefault="004574D1" w:rsidP="004574D1">
      <w:pPr>
        <w:spacing w:after="0" w:line="360" w:lineRule="auto"/>
        <w:jc w:val="both"/>
        <w:rPr>
          <w:rStyle w:val="Markierung"/>
          <w:rFonts w:ascii="Arial" w:hAnsi="Arial" w:cstheme="minorBidi"/>
          <w:shd w:val="clear" w:color="auto" w:fill="auto"/>
        </w:rPr>
      </w:pPr>
      <w:r w:rsidRPr="00391CC9">
        <w:rPr>
          <w:rStyle w:val="Markierung"/>
        </w:rPr>
        <w:t>Diagnosen</w:t>
      </w:r>
    </w:p>
    <w:p w:rsidR="004574D1" w:rsidRPr="00391CC9" w:rsidRDefault="004574D1" w:rsidP="004574D1">
      <w:pPr>
        <w:spacing w:after="0" w:line="360" w:lineRule="auto"/>
        <w:ind w:right="454"/>
        <w:jc w:val="both"/>
        <w:rPr>
          <w:rFonts w:cstheme="minorHAnsi"/>
        </w:rPr>
      </w:pPr>
    </w:p>
    <w:p w:rsidR="004574D1" w:rsidRPr="00391CC9" w:rsidRDefault="004574D1" w:rsidP="004574D1">
      <w:pPr>
        <w:spacing w:after="0" w:line="360" w:lineRule="auto"/>
        <w:ind w:right="454"/>
        <w:jc w:val="both"/>
        <w:rPr>
          <w:rFonts w:cstheme="minorHAnsi"/>
        </w:rPr>
      </w:pPr>
      <w:r w:rsidRPr="00391CC9">
        <w:rPr>
          <w:rFonts w:cstheme="minorHAnsi"/>
        </w:rPr>
        <w:t xml:space="preserve">Sehr geehrte Kolleg:innen der </w:t>
      </w:r>
      <w:r w:rsidRPr="00391CC9">
        <w:rPr>
          <w:rStyle w:val="Markierung"/>
        </w:rPr>
        <w:t>TKK</w:t>
      </w:r>
      <w:r w:rsidRPr="00391CC9">
        <w:rPr>
          <w:rFonts w:cstheme="minorHAnsi"/>
        </w:rPr>
        <w:t>,</w:t>
      </w:r>
    </w:p>
    <w:p w:rsidR="00780E55" w:rsidRPr="00780E55" w:rsidRDefault="00780E55" w:rsidP="00780E55">
      <w:pPr>
        <w:spacing w:before="100" w:beforeAutospacing="1" w:line="276" w:lineRule="auto"/>
        <w:rPr>
          <w:rFonts w:cstheme="minorHAnsi"/>
          <w:color w:val="333333"/>
        </w:rPr>
      </w:pPr>
      <w:r w:rsidRPr="00780E55">
        <w:rPr>
          <w:rFonts w:cstheme="minorHAnsi"/>
          <w:color w:val="333333"/>
        </w:rPr>
        <w:t xml:space="preserve">bei Ihrem o.g. Versicherten </w:t>
      </w:r>
      <w:r w:rsidRPr="00780E55">
        <w:rPr>
          <w:rStyle w:val="Markierung"/>
          <w:rFonts w:cstheme="minorHAnsi"/>
        </w:rPr>
        <w:t>&lt;NAME&gt;,</w:t>
      </w:r>
      <w:r w:rsidRPr="00780E55">
        <w:rPr>
          <w:rFonts w:cstheme="minorHAnsi"/>
          <w:color w:val="333333"/>
        </w:rPr>
        <w:t xml:space="preserve"> geb. </w:t>
      </w:r>
      <w:r w:rsidRPr="00780E55">
        <w:rPr>
          <w:rStyle w:val="Markierung"/>
          <w:rFonts w:cstheme="minorHAnsi"/>
        </w:rPr>
        <w:t>&lt;GEB&gt;,</w:t>
      </w:r>
      <w:r w:rsidRPr="00780E55">
        <w:rPr>
          <w:rFonts w:cstheme="minorHAnsi"/>
          <w:color w:val="333333"/>
        </w:rPr>
        <w:t xml:space="preserve"> (Versicherten-Nr.: </w:t>
      </w:r>
      <w:r w:rsidRPr="00780E55">
        <w:rPr>
          <w:rStyle w:val="Markierung"/>
          <w:rFonts w:cstheme="minorHAnsi"/>
        </w:rPr>
        <w:t>&lt;No&gt;</w:t>
      </w:r>
      <w:r w:rsidRPr="00780E55">
        <w:rPr>
          <w:rFonts w:cstheme="minorHAnsi"/>
          <w:color w:val="333333"/>
        </w:rPr>
        <w:t xml:space="preserve">), wurde ein Multiples Myelom (MM) im Stadium </w:t>
      </w:r>
      <w:r w:rsidRPr="00780E55">
        <w:rPr>
          <w:rStyle w:val="Markierung"/>
          <w:rFonts w:cstheme="minorHAnsi"/>
        </w:rPr>
        <w:t>&lt;ISS/R-ISS/R2-ISS&gt;</w:t>
      </w:r>
      <w:r w:rsidRPr="00780E55">
        <w:rPr>
          <w:rFonts w:cstheme="minorHAnsi"/>
          <w:color w:val="333333"/>
        </w:rPr>
        <w:t xml:space="preserve"> diagnostiziert. </w:t>
      </w:r>
      <w:r w:rsidRPr="00780E55">
        <w:rPr>
          <w:rStyle w:val="Markierung"/>
          <w:rFonts w:cstheme="minorHAnsi"/>
        </w:rPr>
        <w:t>&lt; Der/die &gt;</w:t>
      </w:r>
      <w:r w:rsidRPr="00780E55">
        <w:rPr>
          <w:rFonts w:cstheme="minorHAnsi"/>
          <w:color w:val="333333"/>
        </w:rPr>
        <w:t xml:space="preserve"> Versicherte ist aufgrund </w:t>
      </w:r>
      <w:r w:rsidRPr="00780E55">
        <w:rPr>
          <w:rStyle w:val="Markierung"/>
          <w:rFonts w:cstheme="minorHAnsi"/>
        </w:rPr>
        <w:t>&lt;seines/ihres Alters und/bzw. bei Vorliegen von relevan-ten Komorbiditäten&gt;</w:t>
      </w:r>
      <w:r w:rsidRPr="00780E55">
        <w:rPr>
          <w:rFonts w:cstheme="minorHAnsi"/>
          <w:color w:val="333333"/>
        </w:rPr>
        <w:t xml:space="preserve"> leitliniengemäß nicht für ein primäres Hochdosiskonzept geeignet. </w:t>
      </w:r>
    </w:p>
    <w:p w:rsidR="00780E55" w:rsidRPr="00780E55" w:rsidRDefault="00780E55" w:rsidP="00780E55">
      <w:pPr>
        <w:spacing w:before="100" w:beforeAutospacing="1" w:line="276" w:lineRule="auto"/>
        <w:rPr>
          <w:rFonts w:cstheme="minorHAnsi"/>
          <w:color w:val="333333"/>
        </w:rPr>
      </w:pPr>
      <w:r w:rsidRPr="00780E55">
        <w:rPr>
          <w:rFonts w:cstheme="minorHAnsi"/>
          <w:color w:val="333333"/>
        </w:rPr>
        <w:t xml:space="preserve">Hiermit beantragen wir für o.g. Versicherten eine Therapie mit Isatuximab (Isa), Bortezomib (V), Lenalidomid (R) und Dexame-thason (d) (Isa-VRd) basierend auf den Daten aus der IMROZ-Studie1 sowie der BENEFIT-Studie2. In beiden randomisierten Pha-se III Studien zeigte sich das Quadruplet Isa-VRd einer Triplet-Vergleichstherapie (VRd in IMROZ, Isa-Rd in BENEFIT) signifikant überlegen: Die Hinzunahme des CD38-Antikörpers Isatuximab führte in IMROZ zu einer hochsignifikanten, ca. 40%-igen Risiko-reduktion für Progress der Erkrankung oder Tod (hazard ratio [HR] 0,60, P&lt;0.001) mit einem geschätzten medianen Progressi-onfreien Überleben (mPFS) von &gt; 90 Monaten (mPFS im VRd-Arm: 54,3 Monate).1 Auch in den Daten zum Gesamtüberleben zeichnet sich bereits ein Trend zum Vorteil des Isa-VRd Quadruplets ab (HR 0,776).1 </w:t>
      </w:r>
    </w:p>
    <w:p w:rsidR="00780E55" w:rsidRPr="00780E55" w:rsidRDefault="00780E55" w:rsidP="00780E55">
      <w:pPr>
        <w:spacing w:before="100" w:beforeAutospacing="1" w:line="276" w:lineRule="auto"/>
        <w:rPr>
          <w:rFonts w:cstheme="minorHAnsi"/>
          <w:color w:val="333333"/>
        </w:rPr>
      </w:pPr>
      <w:r w:rsidRPr="00780E55">
        <w:rPr>
          <w:rFonts w:cstheme="minorHAnsi"/>
          <w:color w:val="333333"/>
        </w:rPr>
        <w:t xml:space="preserve">Neben den Überlebensendpunkten zeigte sich in Hinblick auf die Ansprechrate und Tiefe des Ansprechens (Gesamtansprechen, Raten an Komplettremissionen sowie für die minimale Resterkrankung (MRD)) ebenfalls eine signifikante Überlegenheit des Quadruplets; dieser Vorteil wurde auch in der französischen akademischen BENEFIT-Studie bestätigt.1,2 In BENEFIT wurde mit der einmal wöchentlichen Applikation Bortezomib zudem ein Schema gewählt, das den treatment burden für Patienten redu-ziert und die Raten an peripherer Polyneuropathie reduzieren soll. </w:t>
      </w:r>
    </w:p>
    <w:p w:rsidR="00780E55" w:rsidRPr="00780E55" w:rsidRDefault="00780E55" w:rsidP="00780E55">
      <w:pPr>
        <w:spacing w:before="100" w:beforeAutospacing="1" w:line="276" w:lineRule="auto"/>
        <w:rPr>
          <w:rFonts w:cstheme="minorHAnsi"/>
          <w:color w:val="333333"/>
        </w:rPr>
      </w:pPr>
      <w:r w:rsidRPr="00780E55">
        <w:rPr>
          <w:rFonts w:cstheme="minorHAnsi"/>
          <w:color w:val="333333"/>
        </w:rPr>
        <w:t xml:space="preserve">Die Daten zu Isa-VRd als Quadruplet überragen somit beide derzeit zugelassenen Triplet-Kombinationen Daratumumab, Lenalidomid und Dexamethason (DRd) analog der MAIA-Studie, mit dem ein mPFS von 61,9 Monaten und ein medianes Ge-samtüberleben (mOS) von 90,3 Monaten erzielt wird,3-5 sowie dem Triplet VRd basierend auf der SWOG S0777-Studie mit ei-nem mPFS 41 Monaten,6,7 das zudem als Vergleichsarm in IMROZ gewählt wurde (mPFS 54,3 Monate).1 </w:t>
      </w:r>
    </w:p>
    <w:p w:rsidR="00780E55" w:rsidRPr="00780E55" w:rsidRDefault="00780E55" w:rsidP="00780E55">
      <w:pPr>
        <w:spacing w:before="100" w:beforeAutospacing="1" w:line="276" w:lineRule="auto"/>
        <w:rPr>
          <w:rFonts w:cstheme="minorHAnsi"/>
          <w:color w:val="333333"/>
        </w:rPr>
      </w:pPr>
      <w:r w:rsidRPr="00780E55">
        <w:rPr>
          <w:rFonts w:cstheme="minorHAnsi"/>
          <w:color w:val="333333"/>
        </w:rPr>
        <w:t xml:space="preserve">Wir bitten daher um Kostenübernahme der Erstlinientherapie mit Isatuximab zusätzlich zum VRd-Backbone. Die Kosten belau-fen sich bzgl. der Hinzunahme von Isatuximab auf 5621,60€/Monat (bei einem durchschnittlichen Körpergewicht von 80kg). </w:t>
      </w:r>
    </w:p>
    <w:p w:rsidR="00780E55" w:rsidRPr="00780E55" w:rsidRDefault="00780E55" w:rsidP="00780E55">
      <w:pPr>
        <w:spacing w:before="100" w:beforeAutospacing="1" w:line="276" w:lineRule="auto"/>
        <w:rPr>
          <w:rFonts w:cstheme="minorHAnsi"/>
          <w:color w:val="333333"/>
        </w:rPr>
      </w:pPr>
      <w:r w:rsidRPr="00780E55">
        <w:rPr>
          <w:rFonts w:cstheme="minorHAnsi"/>
          <w:color w:val="333333"/>
        </w:rPr>
        <w:t>Bei Rückfragen stehen wir Ihnen gerne jederzeit zur Verfügung.</w:t>
      </w:r>
    </w:p>
    <w:p w:rsidR="001B38F7" w:rsidRPr="001B38F7" w:rsidRDefault="001B38F7" w:rsidP="001B38F7">
      <w:pPr>
        <w:rPr>
          <w:rFonts w:cstheme="minorHAnsi"/>
        </w:rPr>
      </w:pPr>
    </w:p>
    <w:p w:rsidR="004574D1" w:rsidRPr="00780E55" w:rsidRDefault="004574D1" w:rsidP="004574D1">
      <w:pPr>
        <w:spacing w:after="0" w:line="360" w:lineRule="auto"/>
        <w:ind w:right="454"/>
        <w:jc w:val="both"/>
        <w:rPr>
          <w:b/>
          <w:bCs/>
          <w:lang w:val="en-US"/>
        </w:rPr>
      </w:pPr>
      <w:r w:rsidRPr="00780E55">
        <w:rPr>
          <w:rStyle w:val="Fett"/>
          <w:lang w:val="en-US"/>
        </w:rPr>
        <w:lastRenderedPageBreak/>
        <w:t xml:space="preserve">Referenz: </w:t>
      </w:r>
    </w:p>
    <w:p w:rsidR="00780E55" w:rsidRPr="00780E55" w:rsidRDefault="00780E55" w:rsidP="00780E55">
      <w:pPr>
        <w:pStyle w:val="Listenabsatz"/>
        <w:numPr>
          <w:ilvl w:val="0"/>
          <w:numId w:val="5"/>
        </w:numPr>
        <w:spacing w:before="100" w:beforeAutospacing="1" w:line="276" w:lineRule="auto"/>
        <w:jc w:val="both"/>
        <w:rPr>
          <w:rFonts w:cstheme="minorHAnsi"/>
          <w:color w:val="333333"/>
          <w:lang w:val="en-US"/>
        </w:rPr>
      </w:pPr>
      <w:r w:rsidRPr="00780E55">
        <w:rPr>
          <w:rFonts w:cstheme="minorHAnsi"/>
          <w:color w:val="333333"/>
          <w:lang w:val="en-US"/>
        </w:rPr>
        <w:t>Facon T, Dimopoulos M-A, Leleu XP, et al. Isatuximab, Bortezomib, Lenalidomide, and Dexamethasone for Multiple Myeloma. New England Journal of Medicine. 2024;doi:10.1056/NEJMoa2400712</w:t>
      </w:r>
    </w:p>
    <w:p w:rsidR="00780E55" w:rsidRPr="00780E55" w:rsidRDefault="00780E55" w:rsidP="00780E55">
      <w:pPr>
        <w:pStyle w:val="Listenabsatz"/>
        <w:numPr>
          <w:ilvl w:val="0"/>
          <w:numId w:val="5"/>
        </w:numPr>
        <w:spacing w:before="100" w:beforeAutospacing="1" w:line="276" w:lineRule="auto"/>
        <w:jc w:val="both"/>
        <w:rPr>
          <w:rFonts w:cstheme="minorHAnsi"/>
          <w:color w:val="333333"/>
          <w:lang w:val="en-US"/>
        </w:rPr>
      </w:pPr>
      <w:r w:rsidRPr="00780E55">
        <w:rPr>
          <w:rFonts w:cstheme="minorHAnsi"/>
          <w:color w:val="333333"/>
          <w:lang w:val="en-US"/>
        </w:rPr>
        <w:t>Leleu X, Hulin C, Lambert J, et al. Isatuximab, lenalidomide, dexamethasone and bortezomib in transplant-ineligible multiple myeloma: the randomized phase 3 BENEFIT trial. Nat Med. Jun 3 2024;doi:10.1038/s41591-024-03050-2</w:t>
      </w:r>
    </w:p>
    <w:p w:rsidR="00780E55" w:rsidRPr="00780E55" w:rsidRDefault="00780E55" w:rsidP="00780E55">
      <w:pPr>
        <w:pStyle w:val="Listenabsatz"/>
        <w:numPr>
          <w:ilvl w:val="0"/>
          <w:numId w:val="5"/>
        </w:numPr>
        <w:spacing w:before="100" w:beforeAutospacing="1" w:line="276" w:lineRule="auto"/>
        <w:jc w:val="both"/>
        <w:rPr>
          <w:rFonts w:cstheme="minorHAnsi"/>
          <w:color w:val="333333"/>
          <w:lang w:val="en-US"/>
        </w:rPr>
      </w:pPr>
      <w:r w:rsidRPr="00780E55">
        <w:rPr>
          <w:rFonts w:cstheme="minorHAnsi"/>
          <w:color w:val="333333"/>
        </w:rPr>
        <w:t xml:space="preserve">Facon T, Kumar S, Plesner T, et al. </w:t>
      </w:r>
      <w:r w:rsidRPr="00780E55">
        <w:rPr>
          <w:rFonts w:cstheme="minorHAnsi"/>
          <w:color w:val="333333"/>
          <w:lang w:val="en-US"/>
        </w:rPr>
        <w:t>Daratumumab plus Lenalidomide and Dexamethasone for Untreated Myeloma. N Engl J Med. May 30 2019;380(22):2104-2115. doi:10.1056/NEJMoa1817249</w:t>
      </w:r>
    </w:p>
    <w:p w:rsidR="00780E55" w:rsidRPr="00780E55" w:rsidRDefault="00780E55" w:rsidP="00780E55">
      <w:pPr>
        <w:pStyle w:val="Listenabsatz"/>
        <w:numPr>
          <w:ilvl w:val="0"/>
          <w:numId w:val="5"/>
        </w:numPr>
        <w:spacing w:before="100" w:beforeAutospacing="1" w:line="276" w:lineRule="auto"/>
        <w:jc w:val="both"/>
        <w:rPr>
          <w:rFonts w:cstheme="minorHAnsi"/>
          <w:color w:val="333333"/>
          <w:lang w:val="en-US"/>
        </w:rPr>
      </w:pPr>
      <w:r w:rsidRPr="00780E55">
        <w:rPr>
          <w:rFonts w:cstheme="minorHAnsi"/>
          <w:color w:val="333333"/>
        </w:rPr>
        <w:t xml:space="preserve">Facon T, Kumar SK, Plesner T, et al. </w:t>
      </w:r>
      <w:r w:rsidRPr="00780E55">
        <w:rPr>
          <w:rFonts w:cstheme="minorHAnsi"/>
          <w:color w:val="333333"/>
          <w:lang w:val="en-US"/>
        </w:rPr>
        <w:t>Daratumumab, lenalidomide, and dexamethasone versus lenalidomide and dexamethasone alone in newly diagnosed multiple myeloma (MAIA): overall survival results from a randomised, open-label, phase 3 trial. Lancet Oncol. Nov 2021;22(11):1582-1596. doi:10.1016/S1470-2045(21)00466-6</w:t>
      </w:r>
    </w:p>
    <w:p w:rsidR="00780E55" w:rsidRPr="00780E55" w:rsidRDefault="00780E55" w:rsidP="00780E55">
      <w:pPr>
        <w:pStyle w:val="Listenabsatz"/>
        <w:numPr>
          <w:ilvl w:val="0"/>
          <w:numId w:val="5"/>
        </w:numPr>
        <w:spacing w:before="100" w:beforeAutospacing="1" w:line="276" w:lineRule="auto"/>
        <w:jc w:val="both"/>
        <w:rPr>
          <w:rFonts w:cstheme="minorHAnsi"/>
          <w:color w:val="333333"/>
          <w:lang w:val="en-US"/>
        </w:rPr>
      </w:pPr>
      <w:r w:rsidRPr="00780E55">
        <w:rPr>
          <w:rFonts w:cstheme="minorHAnsi"/>
          <w:color w:val="333333"/>
        </w:rPr>
        <w:t xml:space="preserve">Facon T, Orlowski RZ,  Bahlis NJ,  et al. </w:t>
      </w:r>
      <w:r w:rsidRPr="00780E55">
        <w:rPr>
          <w:rFonts w:cstheme="minorHAnsi"/>
          <w:color w:val="333333"/>
          <w:lang w:val="en-US"/>
        </w:rPr>
        <w:t>Final Survival Analysis Of Daratumumab Plus Lenalidomide And Dexamethasone Versus Lenalidomide And Dexamethasone In Transplant-Ineligible Patients With Newly Diagnosed Multiple Myeloma: Maia Study. presented at: EHA 2024; 14.05.2024 2024; Madrid. EHA Library</w:t>
      </w:r>
    </w:p>
    <w:p w:rsidR="00780E55" w:rsidRPr="00780E55" w:rsidRDefault="00780E55" w:rsidP="00780E55">
      <w:pPr>
        <w:pStyle w:val="Listenabsatz"/>
        <w:numPr>
          <w:ilvl w:val="0"/>
          <w:numId w:val="5"/>
        </w:numPr>
        <w:spacing w:before="100" w:beforeAutospacing="1" w:line="276" w:lineRule="auto"/>
        <w:jc w:val="both"/>
        <w:rPr>
          <w:rFonts w:cstheme="minorHAnsi"/>
          <w:color w:val="333333"/>
          <w:lang w:val="en-US"/>
        </w:rPr>
      </w:pPr>
      <w:r w:rsidRPr="00780E55">
        <w:rPr>
          <w:rFonts w:cstheme="minorHAnsi"/>
          <w:color w:val="333333"/>
          <w:lang w:val="en-US"/>
        </w:rPr>
        <w:t>Durie BGM, Hoering A, Abidi MH, et al. Bortezomib with lenalidomide and dexamethasone versus lenalidomide and dexamethasone alone in patients with newly diagnosed myeloma without intent for immediate autologous stem-cell transplant (SWOG S0777): a randomised, open-label, phase 3 trial. Lancet. Feb 4 2017;389(10068):519-527. doi:10.1016/S0140-6736(16)31594-X</w:t>
      </w:r>
    </w:p>
    <w:p w:rsidR="00780E55" w:rsidRPr="00780E55" w:rsidRDefault="00780E55" w:rsidP="00780E55">
      <w:pPr>
        <w:pStyle w:val="Listenabsatz"/>
        <w:numPr>
          <w:ilvl w:val="0"/>
          <w:numId w:val="5"/>
        </w:numPr>
        <w:spacing w:before="100" w:beforeAutospacing="1" w:line="276" w:lineRule="auto"/>
        <w:jc w:val="both"/>
        <w:rPr>
          <w:rFonts w:cstheme="minorHAnsi"/>
          <w:color w:val="333333"/>
        </w:rPr>
      </w:pPr>
      <w:r w:rsidRPr="00780E55">
        <w:rPr>
          <w:rFonts w:cstheme="minorHAnsi"/>
          <w:color w:val="333333"/>
          <w:lang w:val="en-US"/>
        </w:rPr>
        <w:t xml:space="preserve">Durie BGM, Hoering A, Sexton R, et al. Longer term follow-up of the randomized phase III trial SWOG S0777: bortezomib, lenalidomide and dexamethasone vs. lenalidomide and dexamethasone in patients (Pts) with previously untreated multiple myeloma without an intent for immediate autologous stem cell transplant (ASCT). </w:t>
      </w:r>
      <w:r w:rsidRPr="00780E55">
        <w:rPr>
          <w:rFonts w:cstheme="minorHAnsi"/>
          <w:color w:val="333333"/>
        </w:rPr>
        <w:t>Blood Cancer J. May 11 2020;10(5):53. doi:10.1038/s41408-020-0311-8</w:t>
      </w:r>
      <w:r w:rsidRPr="00780E55">
        <w:rPr>
          <w:rFonts w:cstheme="minorHAnsi"/>
          <w:lang w:val="en-US" w:eastAsia="en-GB"/>
        </w:rPr>
        <w:t xml:space="preserve"> </w:t>
      </w:r>
    </w:p>
    <w:p w:rsidR="004574D1" w:rsidRPr="00391CC9" w:rsidRDefault="004574D1" w:rsidP="001B38F7">
      <w:pPr>
        <w:spacing w:after="0" w:line="360" w:lineRule="auto"/>
        <w:ind w:right="454"/>
        <w:jc w:val="both"/>
        <w:rPr>
          <w:rFonts w:cstheme="minorHAnsi"/>
          <w:lang w:val="en-US"/>
        </w:rPr>
      </w:pPr>
    </w:p>
    <w:p w:rsidR="004574D1" w:rsidRPr="001B38F7" w:rsidRDefault="004574D1" w:rsidP="004574D1">
      <w:pPr>
        <w:spacing w:after="0" w:line="360" w:lineRule="auto"/>
        <w:ind w:right="454"/>
        <w:jc w:val="both"/>
        <w:rPr>
          <w:rFonts w:cstheme="minorHAnsi"/>
          <w:lang w:val="en-US"/>
        </w:rPr>
      </w:pPr>
    </w:p>
    <w:p w:rsidR="00836A23" w:rsidRPr="00836A23" w:rsidRDefault="004574D1" w:rsidP="004574D1">
      <w:pPr>
        <w:spacing w:after="0" w:line="360" w:lineRule="auto"/>
        <w:ind w:right="454"/>
        <w:jc w:val="both"/>
      </w:pPr>
      <w:r w:rsidRPr="00391CC9">
        <w:rPr>
          <w:rFonts w:cstheme="minorHAnsi"/>
        </w:rPr>
        <w:t>Mit bestem Dank für Ihre Mühe und freundlichen Grüßen</w:t>
      </w:r>
    </w:p>
    <w:sectPr w:rsidR="00836A23" w:rsidRPr="00836A23" w:rsidSect="004574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707" w:bottom="1134" w:left="1304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A23" w:rsidRDefault="00836A23" w:rsidP="001938D3">
      <w:r>
        <w:separator/>
      </w:r>
    </w:p>
    <w:p w:rsidR="00836A23" w:rsidRDefault="00836A23" w:rsidP="001938D3"/>
  </w:endnote>
  <w:endnote w:type="continuationSeparator" w:id="0">
    <w:p w:rsidR="00836A23" w:rsidRDefault="00836A23" w:rsidP="001938D3">
      <w:r>
        <w:continuationSeparator/>
      </w:r>
    </w:p>
    <w:p w:rsidR="00836A23" w:rsidRDefault="00836A23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D66" w:rsidRDefault="00370D6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81"/>
    </w:tblGrid>
    <w:tr w:rsidR="004574D1" w:rsidRPr="00F807AE" w:rsidTr="005C3375">
      <w:tc>
        <w:tcPr>
          <w:tcW w:w="2693" w:type="dxa"/>
          <w:vAlign w:val="bottom"/>
        </w:tcPr>
        <w:p w:rsidR="004574D1" w:rsidRDefault="004574D1" w:rsidP="004574D1">
          <w:pPr>
            <w:pStyle w:val="FuzeileUKE"/>
          </w:pPr>
          <w:r w:rsidRPr="00CE369B">
            <w:rPr>
              <w:noProof/>
            </w:rPr>
            <w:drawing>
              <wp:anchor distT="0" distB="0" distL="114300" distR="114300" simplePos="0" relativeHeight="251670016" behindDoc="0" locked="0" layoutInCell="1" allowOverlap="1" wp14:anchorId="15326C18" wp14:editId="4A698832">
                <wp:simplePos x="0" y="0"/>
                <wp:positionH relativeFrom="column">
                  <wp:posOffset>5206365</wp:posOffset>
                </wp:positionH>
                <wp:positionV relativeFrom="paragraph">
                  <wp:posOffset>-6350</wp:posOffset>
                </wp:positionV>
                <wp:extent cx="1079500" cy="591820"/>
                <wp:effectExtent l="0" t="0" r="0" b="0"/>
                <wp:wrapNone/>
                <wp:docPr id="4" name="Grafik 4" descr="U:\Zentren\UCCH\Mitarbeiter\Kommunikation\Projekte\UCCH Facelift 2023\Logo\LOGO_UCC Hamburg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:\Zentren\UCCH\Mitarbeiter\Kommunikation\Projekte\UCCH Facelift 2023\Logo\LOGO_UCC Hamburg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950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  <w:r>
            <w:t xml:space="preserve">  </w:t>
          </w:r>
        </w:p>
        <w:p w:rsidR="004574D1" w:rsidRPr="00F807AE" w:rsidRDefault="004574D1" w:rsidP="004574D1">
          <w:pPr>
            <w:pStyle w:val="FuzeileUKE"/>
          </w:pPr>
          <w:r w:rsidRPr="00F807AE">
            <w:t>Universitätsklinikum Hamburg-Eppendorf</w:t>
          </w:r>
        </w:p>
      </w:tc>
    </w:tr>
  </w:tbl>
  <w:p w:rsidR="004574D1" w:rsidRDefault="004574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2693"/>
    </w:tblGrid>
    <w:tr w:rsidR="00463309" w:rsidTr="00836A23">
      <w:tc>
        <w:tcPr>
          <w:tcW w:w="7088" w:type="dxa"/>
        </w:tcPr>
        <w:p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2693" w:type="dxa"/>
          <w:vAlign w:val="bottom"/>
        </w:tcPr>
        <w:p w:rsidR="00463309" w:rsidRPr="00F807AE" w:rsidRDefault="00463309" w:rsidP="001938D3">
          <w:pPr>
            <w:pStyle w:val="FuzeileUKE"/>
          </w:pPr>
        </w:p>
      </w:tc>
    </w:tr>
  </w:tbl>
  <w:p w:rsidR="00463309" w:rsidRPr="00463309" w:rsidRDefault="00463309" w:rsidP="001938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A23" w:rsidRDefault="00836A23" w:rsidP="001938D3">
      <w:r>
        <w:separator/>
      </w:r>
    </w:p>
    <w:p w:rsidR="00836A23" w:rsidRDefault="00836A23" w:rsidP="001938D3"/>
  </w:footnote>
  <w:footnote w:type="continuationSeparator" w:id="0">
    <w:p w:rsidR="00836A23" w:rsidRDefault="00836A23" w:rsidP="001938D3">
      <w:r>
        <w:continuationSeparator/>
      </w:r>
    </w:p>
    <w:p w:rsidR="00836A23" w:rsidRDefault="00836A23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D66" w:rsidRDefault="00370D6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:rsidTr="00836A23">
      <w:trPr>
        <w:trHeight w:hRule="exact" w:val="426"/>
      </w:trPr>
      <w:tc>
        <w:tcPr>
          <w:tcW w:w="567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5BD9822" wp14:editId="6582459D">
                <wp:extent cx="270000" cy="23625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color w:val="FFFFFF" w:themeColor="background1"/>
          </w:rPr>
          <w:alias w:val="Geschäftsbereich"/>
          <w:tag w:val=""/>
          <w:id w:val="-1435815868"/>
          <w:lock w:val="sdtLocked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 w:multiLine="1"/>
        </w:sdtPr>
        <w:sdtEndPr/>
        <w:sdtContent>
          <w:tc>
            <w:tcPr>
              <w:tcW w:w="3828" w:type="dxa"/>
              <w:vAlign w:val="bottom"/>
            </w:tcPr>
            <w:p w:rsidR="00FA51DE" w:rsidRPr="00836A23" w:rsidRDefault="003336D5" w:rsidP="00B3751F">
              <w:pPr>
                <w:pStyle w:val="KopfzeileGeschftsbereichSeite2"/>
                <w:rPr>
                  <w:lang w:val="en-US"/>
                </w:rPr>
              </w:pPr>
              <w:r w:rsidRPr="003336D5">
                <w:rPr>
                  <w:color w:val="FFFFFF" w:themeColor="background1"/>
                </w:rPr>
                <w:t>Platzhalter</w:t>
              </w:r>
            </w:p>
          </w:tc>
        </w:sdtContent>
      </w:sdt>
      <w:tc>
        <w:tcPr>
          <w:tcW w:w="425" w:type="dxa"/>
          <w:vAlign w:val="bottom"/>
        </w:tcPr>
        <w:p w:rsidR="00FA51DE" w:rsidRPr="00836A23" w:rsidRDefault="00FA51DE" w:rsidP="00D216F4">
          <w:pPr>
            <w:pStyle w:val="KopfzeileGeschftsbereich"/>
            <w:rPr>
              <w:noProof/>
              <w:lang w:val="en-US"/>
            </w:rPr>
          </w:pPr>
        </w:p>
      </w:tc>
      <w:tc>
        <w:tcPr>
          <w:tcW w:w="5103" w:type="dxa"/>
          <w:vAlign w:val="bottom"/>
        </w:tcPr>
        <w:p w:rsidR="00FA51DE" w:rsidRPr="00E83357" w:rsidRDefault="00370D66" w:rsidP="00370D66">
          <w:pPr>
            <w:pStyle w:val="Seitenleiste"/>
          </w:pPr>
          <w:sdt>
            <w:sdtPr>
              <w:alias w:val="Titel"/>
              <w:tag w:val=""/>
              <w:id w:val="955995591"/>
              <w:lock w:val="sdtLocked"/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t xml:space="preserve">     </w:t>
              </w:r>
            </w:sdtContent>
          </w:sdt>
          <w:r w:rsidR="00E83357" w:rsidRPr="00E83357">
            <w:t xml:space="preserve">     </w:t>
          </w:r>
          <w:r w:rsidR="00E83357">
            <w:t>S</w:t>
          </w:r>
          <w:r w:rsidR="00FA51DE" w:rsidRPr="00201EF0">
            <w:t xml:space="preserve">eite </w:t>
          </w:r>
          <w:r w:rsidR="000D2D59">
            <w:fldChar w:fldCharType="begin"/>
          </w:r>
          <w:r w:rsidR="000D2D59">
            <w:instrText xml:space="preserve"> PAGE   \* MERGEFORMAT </w:instrText>
          </w:r>
          <w:r w:rsidR="000D2D59">
            <w:fldChar w:fldCharType="separate"/>
          </w:r>
          <w:r>
            <w:rPr>
              <w:noProof/>
            </w:rPr>
            <w:t>2</w:t>
          </w:r>
          <w:r w:rsidR="000D2D59">
            <w:fldChar w:fldCharType="end"/>
          </w:r>
          <w:r w:rsidR="00FA51DE" w:rsidRPr="00201EF0">
            <w:t>/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  <w:tr w:rsidR="00FA51DE" w:rsidRPr="001A3B60" w:rsidTr="001A3B60">
      <w:tc>
        <w:tcPr>
          <w:tcW w:w="567" w:type="dxa"/>
          <w:vMerge/>
        </w:tcPr>
        <w:p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201EF0" w:rsidRDefault="00FA51DE" w:rsidP="00030C2B">
          <w:pPr>
            <w:pStyle w:val="Seitenleiste"/>
          </w:pPr>
        </w:p>
      </w:tc>
    </w:tr>
  </w:tbl>
  <w:p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075A2F40" wp14:editId="29D35C9A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16B044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B38F7" w:rsidTr="0054722B">
      <w:trPr>
        <w:trHeight w:hRule="exact" w:val="669"/>
      </w:trPr>
      <w:tc>
        <w:tcPr>
          <w:tcW w:w="1162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E231CDA" wp14:editId="74169528">
                <wp:extent cx="540000" cy="569421"/>
                <wp:effectExtent l="0" t="0" r="0" b="254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3" w:type="dxa"/>
          <w:shd w:val="clear" w:color="auto" w:fill="FFFFFF" w:themeFill="background1"/>
          <w:vAlign w:val="bottom"/>
        </w:tcPr>
        <w:p w:rsidR="001A3B60" w:rsidRPr="0054722B" w:rsidRDefault="00370D66" w:rsidP="003336D5">
          <w:pPr>
            <w:pStyle w:val="KopfzeileGeschftsbereich"/>
            <w:rPr>
              <w:color w:val="FFFFFF" w:themeColor="background1"/>
              <w:lang w:val="en-US"/>
            </w:rPr>
          </w:pPr>
          <w:sdt>
            <w:sdtPr>
              <w:rPr>
                <w:color w:val="FFFFFF" w:themeColor="background1"/>
                <w:lang w:val="en-US"/>
              </w:rPr>
              <w:alias w:val="Geschäftsbereich"/>
              <w:tag w:val=""/>
              <w:id w:val="-1199691007"/>
              <w:lock w:val="sdtLocked"/>
              <w:placeholder>
                <w:docPart w:val="01F8606620394D4EA8690FD4720DBB7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 w:multiLine="1"/>
            </w:sdtPr>
            <w:sdtEndPr/>
            <w:sdtContent>
              <w:r w:rsidR="003336D5">
                <w:rPr>
                  <w:color w:val="FFFFFF" w:themeColor="background1"/>
                  <w:lang w:val="en-US"/>
                </w:rPr>
                <w:t>Platzhalter</w:t>
              </w:r>
            </w:sdtContent>
          </w:sdt>
        </w:p>
      </w:tc>
      <w:tc>
        <w:tcPr>
          <w:tcW w:w="425" w:type="dxa"/>
          <w:vAlign w:val="bottom"/>
        </w:tcPr>
        <w:p w:rsidR="001A3B60" w:rsidRPr="00836A23" w:rsidRDefault="001A3B60" w:rsidP="00D216F4">
          <w:pPr>
            <w:pStyle w:val="KopfzeileGeschftsbereich"/>
            <w:rPr>
              <w:noProof/>
              <w:lang w:val="en-US"/>
            </w:rPr>
          </w:pPr>
        </w:p>
      </w:tc>
      <w:tc>
        <w:tcPr>
          <w:tcW w:w="5217" w:type="dxa"/>
          <w:vAlign w:val="bottom"/>
        </w:tcPr>
        <w:p w:rsidR="001A3B60" w:rsidRPr="001B38F7" w:rsidRDefault="001B38F7" w:rsidP="00030C2B">
          <w:pPr>
            <w:pStyle w:val="Seitenleiste"/>
            <w:rPr>
              <w:sz w:val="20"/>
            </w:rPr>
          </w:pPr>
          <w:r w:rsidRPr="001B38F7">
            <w:rPr>
              <w:sz w:val="20"/>
            </w:rPr>
            <w:t>Stand 11/2024</w:t>
          </w:r>
        </w:p>
      </w:tc>
    </w:tr>
    <w:tr w:rsidR="001A3B60" w:rsidTr="004342E3">
      <w:trPr>
        <w:trHeight w:val="794"/>
      </w:trPr>
      <w:tc>
        <w:tcPr>
          <w:tcW w:w="1162" w:type="dxa"/>
          <w:vMerge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:rsidR="001938D3" w:rsidRPr="001938D3" w:rsidRDefault="001938D3" w:rsidP="001938D3">
    <w:pPr>
      <w:pStyle w:val="KopfzeileTopSpace"/>
    </w:pPr>
  </w:p>
  <w:p w:rsidR="001374D4" w:rsidRPr="00F30425" w:rsidRDefault="005C75F9" w:rsidP="001938D3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47DB4161" wp14:editId="4168058C">
              <wp:simplePos x="0" y="0"/>
              <wp:positionH relativeFrom="page">
                <wp:posOffset>0</wp:posOffset>
              </wp:positionH>
              <wp:positionV relativeFrom="page">
                <wp:posOffset>1188085</wp:posOffset>
              </wp:positionV>
              <wp:extent cx="7560000" cy="3600"/>
              <wp:effectExtent l="0" t="19050" r="317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30ABD9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93.55pt" to="595.3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012B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C9A59D6"/>
    <w:multiLevelType w:val="hybridMultilevel"/>
    <w:tmpl w:val="77FEB6CE"/>
    <w:lvl w:ilvl="0" w:tplc="241835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4" w15:restartNumberingAfterBreak="0">
    <w:nsid w:val="462C4520"/>
    <w:multiLevelType w:val="hybridMultilevel"/>
    <w:tmpl w:val="2C3A28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A23"/>
    <w:rsid w:val="00004032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A2D70"/>
    <w:rsid w:val="000A5322"/>
    <w:rsid w:val="000B1005"/>
    <w:rsid w:val="000B340B"/>
    <w:rsid w:val="000D1C4B"/>
    <w:rsid w:val="000D2D59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86A0E"/>
    <w:rsid w:val="00190EB5"/>
    <w:rsid w:val="001938D3"/>
    <w:rsid w:val="001A3B60"/>
    <w:rsid w:val="001A74D8"/>
    <w:rsid w:val="001A7ED9"/>
    <w:rsid w:val="001B38F7"/>
    <w:rsid w:val="001B3BEB"/>
    <w:rsid w:val="001C27EF"/>
    <w:rsid w:val="001C39A5"/>
    <w:rsid w:val="001D123E"/>
    <w:rsid w:val="001D2744"/>
    <w:rsid w:val="001D5C26"/>
    <w:rsid w:val="001E0B0A"/>
    <w:rsid w:val="001E4CE5"/>
    <w:rsid w:val="001F0383"/>
    <w:rsid w:val="001F46A8"/>
    <w:rsid w:val="001F6D70"/>
    <w:rsid w:val="00200D8A"/>
    <w:rsid w:val="00201EF0"/>
    <w:rsid w:val="00213F8A"/>
    <w:rsid w:val="0022115F"/>
    <w:rsid w:val="00232571"/>
    <w:rsid w:val="00233528"/>
    <w:rsid w:val="0026056C"/>
    <w:rsid w:val="00274B44"/>
    <w:rsid w:val="002765B5"/>
    <w:rsid w:val="0028084F"/>
    <w:rsid w:val="0029626B"/>
    <w:rsid w:val="002A3997"/>
    <w:rsid w:val="002B6B94"/>
    <w:rsid w:val="002C07BC"/>
    <w:rsid w:val="002C0BFB"/>
    <w:rsid w:val="002C2020"/>
    <w:rsid w:val="002E7682"/>
    <w:rsid w:val="002F328F"/>
    <w:rsid w:val="00326442"/>
    <w:rsid w:val="003336D5"/>
    <w:rsid w:val="003343DA"/>
    <w:rsid w:val="00347517"/>
    <w:rsid w:val="00356BDA"/>
    <w:rsid w:val="003657C6"/>
    <w:rsid w:val="0037065B"/>
    <w:rsid w:val="00370D66"/>
    <w:rsid w:val="0037626B"/>
    <w:rsid w:val="003855F6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3AA5"/>
    <w:rsid w:val="004342E3"/>
    <w:rsid w:val="004354B6"/>
    <w:rsid w:val="0044506A"/>
    <w:rsid w:val="00451DF5"/>
    <w:rsid w:val="004521DB"/>
    <w:rsid w:val="004574D1"/>
    <w:rsid w:val="00463309"/>
    <w:rsid w:val="004633F1"/>
    <w:rsid w:val="00464C0B"/>
    <w:rsid w:val="004666BA"/>
    <w:rsid w:val="0047178C"/>
    <w:rsid w:val="00476B47"/>
    <w:rsid w:val="0049589E"/>
    <w:rsid w:val="004B5519"/>
    <w:rsid w:val="004C2422"/>
    <w:rsid w:val="004C2DA0"/>
    <w:rsid w:val="004E07C4"/>
    <w:rsid w:val="004E645B"/>
    <w:rsid w:val="004F1BB5"/>
    <w:rsid w:val="004F37A9"/>
    <w:rsid w:val="00502791"/>
    <w:rsid w:val="00515779"/>
    <w:rsid w:val="00532636"/>
    <w:rsid w:val="00542A19"/>
    <w:rsid w:val="0054722B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974FB"/>
    <w:rsid w:val="005A46DD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D51F0"/>
    <w:rsid w:val="006F754C"/>
    <w:rsid w:val="00713345"/>
    <w:rsid w:val="00733DF5"/>
    <w:rsid w:val="00741D77"/>
    <w:rsid w:val="00741E9A"/>
    <w:rsid w:val="007427C6"/>
    <w:rsid w:val="00750C7C"/>
    <w:rsid w:val="00755671"/>
    <w:rsid w:val="00757807"/>
    <w:rsid w:val="00780E55"/>
    <w:rsid w:val="00786FE0"/>
    <w:rsid w:val="00791A8D"/>
    <w:rsid w:val="007A08DD"/>
    <w:rsid w:val="007A0E4E"/>
    <w:rsid w:val="007A3256"/>
    <w:rsid w:val="007A533E"/>
    <w:rsid w:val="007B4D83"/>
    <w:rsid w:val="007C2D57"/>
    <w:rsid w:val="007C5D91"/>
    <w:rsid w:val="007C763C"/>
    <w:rsid w:val="007D6047"/>
    <w:rsid w:val="007E2EFC"/>
    <w:rsid w:val="007E353F"/>
    <w:rsid w:val="0080516F"/>
    <w:rsid w:val="008132BE"/>
    <w:rsid w:val="008144B7"/>
    <w:rsid w:val="00825D24"/>
    <w:rsid w:val="00836A23"/>
    <w:rsid w:val="00842728"/>
    <w:rsid w:val="00867949"/>
    <w:rsid w:val="00875785"/>
    <w:rsid w:val="008A7870"/>
    <w:rsid w:val="008B4A9B"/>
    <w:rsid w:val="008C56B8"/>
    <w:rsid w:val="008C78D6"/>
    <w:rsid w:val="008D5840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6F10"/>
    <w:rsid w:val="009D4AD6"/>
    <w:rsid w:val="009E1C07"/>
    <w:rsid w:val="009E4B5B"/>
    <w:rsid w:val="009E681A"/>
    <w:rsid w:val="009F3142"/>
    <w:rsid w:val="009F33C8"/>
    <w:rsid w:val="00A07DA7"/>
    <w:rsid w:val="00A100D5"/>
    <w:rsid w:val="00A20D70"/>
    <w:rsid w:val="00A22316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21EC2"/>
    <w:rsid w:val="00B26990"/>
    <w:rsid w:val="00B32866"/>
    <w:rsid w:val="00B3751F"/>
    <w:rsid w:val="00B537BB"/>
    <w:rsid w:val="00B65A44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7348"/>
    <w:rsid w:val="00BE608F"/>
    <w:rsid w:val="00BF1197"/>
    <w:rsid w:val="00C12DF6"/>
    <w:rsid w:val="00C13942"/>
    <w:rsid w:val="00C15722"/>
    <w:rsid w:val="00C17DFE"/>
    <w:rsid w:val="00C356A9"/>
    <w:rsid w:val="00C35ABE"/>
    <w:rsid w:val="00C65D38"/>
    <w:rsid w:val="00C67327"/>
    <w:rsid w:val="00C67929"/>
    <w:rsid w:val="00C7464C"/>
    <w:rsid w:val="00C8162A"/>
    <w:rsid w:val="00C931D8"/>
    <w:rsid w:val="00CA62FC"/>
    <w:rsid w:val="00CB2E18"/>
    <w:rsid w:val="00CC20D0"/>
    <w:rsid w:val="00CC2A77"/>
    <w:rsid w:val="00CC3153"/>
    <w:rsid w:val="00CD3B18"/>
    <w:rsid w:val="00CD5603"/>
    <w:rsid w:val="00CE32B3"/>
    <w:rsid w:val="00CE5B14"/>
    <w:rsid w:val="00CE7790"/>
    <w:rsid w:val="00CF0647"/>
    <w:rsid w:val="00CF35EF"/>
    <w:rsid w:val="00D040CD"/>
    <w:rsid w:val="00D14746"/>
    <w:rsid w:val="00D14F92"/>
    <w:rsid w:val="00D216F4"/>
    <w:rsid w:val="00D25FEB"/>
    <w:rsid w:val="00D4622E"/>
    <w:rsid w:val="00D538F0"/>
    <w:rsid w:val="00D63844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4247"/>
    <w:rsid w:val="00DC56FD"/>
    <w:rsid w:val="00DD0ED2"/>
    <w:rsid w:val="00DE1BC4"/>
    <w:rsid w:val="00DF1B2B"/>
    <w:rsid w:val="00DF3C08"/>
    <w:rsid w:val="00DF53EB"/>
    <w:rsid w:val="00E05208"/>
    <w:rsid w:val="00E20FF3"/>
    <w:rsid w:val="00E36EAB"/>
    <w:rsid w:val="00E645A6"/>
    <w:rsid w:val="00E70900"/>
    <w:rsid w:val="00E83357"/>
    <w:rsid w:val="00E851A8"/>
    <w:rsid w:val="00E933E7"/>
    <w:rsid w:val="00EA6C77"/>
    <w:rsid w:val="00EC1FC6"/>
    <w:rsid w:val="00EE4573"/>
    <w:rsid w:val="00EE45C2"/>
    <w:rsid w:val="00EE733E"/>
    <w:rsid w:val="00EF18C8"/>
    <w:rsid w:val="00F12337"/>
    <w:rsid w:val="00F30170"/>
    <w:rsid w:val="00F30425"/>
    <w:rsid w:val="00F47BC8"/>
    <w:rsid w:val="00F5765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393EA232-857D-4875-8277-B63D522C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1938D3"/>
    <w:pPr>
      <w:spacing w:after="120"/>
      <w:jc w:val="left"/>
    </w:pPr>
    <w:rPr>
      <w:rFonts w:asciiTheme="minorHAnsi" w:hAnsiTheme="minorHAnsi" w:cs="Arial"/>
      <w:color w:val="333333" w:themeColor="text1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semiHidden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character" w:customStyle="1" w:styleId="Markierung">
    <w:name w:val="Markierung"/>
    <w:basedOn w:val="Absatz-Standardschriftart"/>
    <w:uiPriority w:val="1"/>
    <w:qFormat/>
    <w:rsid w:val="004574D1"/>
    <w:rPr>
      <w:rFonts w:asciiTheme="minorHAnsi" w:hAnsiTheme="minorHAnsi" w:cs="Arial"/>
      <w:bdr w:val="none" w:sz="0" w:space="0" w:color="auto"/>
      <w:shd w:val="clear" w:color="auto" w:fill="E8F6CF" w:themeFill="accent4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lehman\Downloads\standard-formular_aa_uke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F8606620394D4EA8690FD4720DBB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1F8561-332A-425D-9F0A-17EF8032BE3D}"/>
      </w:docPartPr>
      <w:docPartBody>
        <w:p w:rsidR="004E610C" w:rsidRDefault="004E610C">
          <w:pPr>
            <w:pStyle w:val="01F8606620394D4EA8690FD4720DBB78"/>
          </w:pPr>
          <w:r w:rsidRPr="00206192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10C"/>
    <w:rsid w:val="004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01F8606620394D4EA8690FD4720DBB78">
    <w:name w:val="01F8606620394D4EA8690FD4720DBB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01E87-15FA-4478-ABB8-F6419BF7A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standard-formular_aa_uke (3)</Template>
  <TotalTime>0</TotalTime>
  <Pages>2</Pages>
  <Words>619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Besprechungsprotokoll</vt:lpstr>
    </vt:vector>
  </TitlesOfParts>
  <Company>Microsoft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Platzhalter</dc:subject>
  <dc:creator>Lehmann, Laura</dc:creator>
  <cp:lastModifiedBy>Schlüter, Janina</cp:lastModifiedBy>
  <cp:revision>3</cp:revision>
  <cp:lastPrinted>2016-08-15T13:52:00Z</cp:lastPrinted>
  <dcterms:created xsi:type="dcterms:W3CDTF">2024-11-19T09:48:00Z</dcterms:created>
  <dcterms:modified xsi:type="dcterms:W3CDTF">2024-11-19T12:14:00Z</dcterms:modified>
</cp:coreProperties>
</file>