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28363B" w:rsidP="004574D1">
      <w:pPr>
        <w:pStyle w:val="Zwischenberschrift"/>
      </w:pPr>
      <w:r w:rsidRPr="0006676E">
        <w:t>Dasatinib - AML</w:t>
      </w:r>
      <w:r w:rsidRPr="0006676E">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89130A">
      <w:pPr>
        <w:spacing w:after="0" w:line="360" w:lineRule="auto"/>
        <w:jc w:val="both"/>
      </w:pPr>
      <w:r w:rsidRPr="004556EC">
        <w:rPr>
          <w:rFonts w:cstheme="minorHAnsi"/>
        </w:rPr>
        <w:t xml:space="preserve">Antrag auf Kostenübernahme </w:t>
      </w:r>
      <w:r w:rsidR="0089130A" w:rsidRPr="007470A8">
        <w:rPr>
          <w:rFonts w:cstheme="minorHAnsi"/>
        </w:rPr>
        <w:t xml:space="preserve">auf Verordnung von </w:t>
      </w:r>
      <w:r w:rsidR="0028363B" w:rsidRPr="0006676E">
        <w:t xml:space="preserve">Dasatinib </w:t>
      </w:r>
      <w:r w:rsidR="0028363B">
        <w:t>–</w:t>
      </w:r>
      <w:r w:rsidR="0028363B" w:rsidRPr="0006676E">
        <w:t xml:space="preserve"> AML</w:t>
      </w:r>
      <w:r w:rsidR="0028363B">
        <w:t xml:space="preserve"> </w:t>
      </w:r>
      <w:r w:rsidRPr="004556EC">
        <w:rPr>
          <w:rFonts w:cstheme="minorHAnsi"/>
        </w:rPr>
        <w:t xml:space="preserve">bei </w:t>
      </w:r>
      <w:r w:rsidRPr="007F10A2">
        <w:rPr>
          <w:rStyle w:val="Markierung"/>
        </w:rPr>
        <w:t>der Patientin Frau</w:t>
      </w:r>
      <w:r w:rsidRPr="004556EC">
        <w:rPr>
          <w:rFonts w:cstheme="minorHAnsi"/>
        </w:rPr>
        <w:t xml:space="preserve">,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8A07F0" w:rsidRPr="00391CC9" w:rsidRDefault="008A07F0" w:rsidP="004574D1">
      <w:pPr>
        <w:spacing w:after="0" w:line="360" w:lineRule="auto"/>
        <w:ind w:right="454"/>
        <w:jc w:val="both"/>
        <w:rPr>
          <w:rFonts w:cstheme="minorHAnsi"/>
        </w:rPr>
      </w:pPr>
    </w:p>
    <w:p w:rsidR="0028363B" w:rsidRPr="00534899" w:rsidRDefault="0028363B" w:rsidP="0028363B">
      <w:pPr>
        <w:spacing w:after="0" w:line="360" w:lineRule="auto"/>
        <w:jc w:val="both"/>
        <w:rPr>
          <w:rFonts w:cstheme="minorHAnsi"/>
        </w:rPr>
      </w:pPr>
      <w:r w:rsidRPr="00534899">
        <w:rPr>
          <w:rFonts w:cstheme="minorHAnsi"/>
        </w:rPr>
        <w:t xml:space="preserve">hiermit möchten wir </w:t>
      </w:r>
      <w:r>
        <w:rPr>
          <w:rStyle w:val="Markierung"/>
        </w:rPr>
        <w:t>[Patient]</w:t>
      </w:r>
      <w:r w:rsidRPr="00534899">
        <w:rPr>
          <w:rFonts w:cstheme="minorHAnsi"/>
        </w:rPr>
        <w:t xml:space="preserve"> einen Kostenübernahmeantrag für Dasatinib stellen. Der Patient ist kürzlich an einer akuten myeloischen Leukämie </w:t>
      </w:r>
      <w:r>
        <w:rPr>
          <w:rStyle w:val="Markierung"/>
        </w:rPr>
        <w:t>[Erstdiagnose]</w:t>
      </w:r>
      <w:r w:rsidRPr="00534899">
        <w:rPr>
          <w:rFonts w:cstheme="minorHAnsi"/>
        </w:rPr>
        <w:t xml:space="preserve"> erkrankt. Bei dem Patienten liegt, die für die AML sehr seltene und untypische, Translokation (9;22)(q34, 11) vor, sprich das sog. Philadelphia-Chromosom (Ph+) mit BCR-ABL-Fusionstranskript vor. Dies ist laut aktueller Klassifikation nach ELN mit einer sehr schlechten Prognose assoziiert. Aufgrund der seltenen Fälle bei Patienten mit AML gibt es hier kein festgelegtes Behandlungskonzept im Gegensatz zu anderen Entitäten wie chronisch myeloischen Leukämie (CML) oder akuten lymphoblastischen Leukämien (ALL), bei denen diese Mutation sehr viel häufiger auftritt. In der CLL und ALL sind Tyrosinkinaseinhibitoren (TKI) fester Bestandteil der Therapie und zeigen dort sehr gute Erfolge. Für Patienten mit Ph+ AML wurde in verschiedenen Fallberichten ebenfalls die Wirkung von TKI gezeigt (Piedimonte et al. 2019, Pompetti et al. 2007, Shi et al. 2017). Dabei wurden Patienten mit Chemotherapie, TKI und ggf. allogener Stammzelltransplantation behandelt und es konnte in einigen Fällen langanhaltende Remission erzielt werden.</w:t>
      </w:r>
    </w:p>
    <w:p w:rsidR="0028363B" w:rsidRPr="00534899" w:rsidRDefault="0028363B" w:rsidP="0028363B">
      <w:pPr>
        <w:spacing w:after="0" w:line="360" w:lineRule="auto"/>
        <w:jc w:val="both"/>
        <w:rPr>
          <w:rFonts w:cstheme="minorHAnsi"/>
        </w:rPr>
      </w:pPr>
      <w:r w:rsidRPr="00534899">
        <w:rPr>
          <w:rFonts w:cstheme="minorHAnsi"/>
        </w:rPr>
        <w:t xml:space="preserve"> </w:t>
      </w:r>
    </w:p>
    <w:p w:rsidR="0028363B" w:rsidRPr="00534899" w:rsidRDefault="0028363B" w:rsidP="0028363B">
      <w:pPr>
        <w:spacing w:after="0" w:line="360" w:lineRule="auto"/>
        <w:jc w:val="both"/>
        <w:rPr>
          <w:rFonts w:cstheme="minorHAnsi"/>
        </w:rPr>
      </w:pPr>
      <w:r w:rsidRPr="00534899">
        <w:rPr>
          <w:rFonts w:cstheme="minorHAnsi"/>
        </w:rPr>
        <w:t xml:space="preserve">Bei </w:t>
      </w:r>
      <w:r>
        <w:rPr>
          <w:rStyle w:val="Markierung"/>
        </w:rPr>
        <w:t>[Patient]</w:t>
      </w:r>
      <w:r w:rsidRPr="00534899">
        <w:rPr>
          <w:rFonts w:cstheme="minorHAnsi"/>
        </w:rPr>
        <w:t xml:space="preserve"> liegt das typische BCR-ABL-Transkript p210 vor, sodass von einer Wirkung der TKI ausgegangen werden kann. Wir behandelten den Patienten bereits mit einem ersten Induktionszyklus analog zur AMLSG-21-13 Studie (in welcher ein TKI bei anderer Entität eingesetzt wurde) mit Cytarabin, Daunorubicin und Dasatinib. Erfreulicherweise konnte in der ersten Remissionskontrolle eine komplette hämatologische Remission (CRi) erzielt werden und der Abfall des BCR-ABL-Transkriptes fiel um </w:t>
      </w:r>
      <w:r>
        <w:rPr>
          <w:rStyle w:val="Markierung"/>
        </w:rPr>
        <w:t>[Anzahl Logstufen]</w:t>
      </w:r>
      <w:r w:rsidRPr="00534899">
        <w:rPr>
          <w:rFonts w:cstheme="minorHAnsi"/>
        </w:rPr>
        <w:t xml:space="preserve">-Logstufen ab. Insofern zeigt sich unser Behandlungskonzept bei diesem Patienten als sehr effektiv, sodass wir aktuell mit dem zweiten Induktionszyklus fortfahren. </w:t>
      </w:r>
    </w:p>
    <w:p w:rsidR="0028363B" w:rsidRPr="00534899" w:rsidRDefault="0028363B" w:rsidP="0028363B">
      <w:pPr>
        <w:spacing w:after="0" w:line="360" w:lineRule="auto"/>
        <w:jc w:val="both"/>
        <w:rPr>
          <w:rFonts w:cstheme="minorHAnsi"/>
        </w:rPr>
      </w:pPr>
      <w:r w:rsidRPr="00534899">
        <w:rPr>
          <w:rFonts w:cstheme="minorHAnsi"/>
        </w:rPr>
        <w:t xml:space="preserve"> </w:t>
      </w:r>
    </w:p>
    <w:p w:rsidR="0028363B" w:rsidRPr="00534899" w:rsidRDefault="0028363B" w:rsidP="0028363B">
      <w:pPr>
        <w:spacing w:after="0" w:line="360" w:lineRule="auto"/>
        <w:jc w:val="both"/>
        <w:rPr>
          <w:rFonts w:cstheme="minorHAnsi"/>
        </w:rPr>
      </w:pPr>
      <w:r w:rsidRPr="00534899">
        <w:rPr>
          <w:rFonts w:cstheme="minorHAnsi"/>
        </w:rPr>
        <w:t xml:space="preserve">Bei adverser Risikokonstellation ist eine allogene Stammzelltransplantation nach 2 Induktionszyklen für </w:t>
      </w:r>
      <w:r>
        <w:rPr>
          <w:rStyle w:val="Markierung"/>
        </w:rPr>
        <w:t xml:space="preserve">[Patient] </w:t>
      </w:r>
      <w:r w:rsidRPr="00534899">
        <w:rPr>
          <w:rFonts w:cstheme="minorHAnsi"/>
        </w:rPr>
        <w:t xml:space="preserve">vorgesehen. Eine Fremdspendersuche wurde bereits eingeleitet. </w:t>
      </w:r>
    </w:p>
    <w:p w:rsidR="0028363B" w:rsidRPr="00534899" w:rsidRDefault="0028363B" w:rsidP="0028363B">
      <w:pPr>
        <w:spacing w:after="0" w:line="360" w:lineRule="auto"/>
        <w:jc w:val="both"/>
        <w:rPr>
          <w:rFonts w:cstheme="minorHAnsi"/>
        </w:rPr>
      </w:pPr>
      <w:r w:rsidRPr="00534899">
        <w:rPr>
          <w:rFonts w:cstheme="minorHAnsi"/>
        </w:rPr>
        <w:t xml:space="preserve"> </w:t>
      </w:r>
    </w:p>
    <w:p w:rsidR="0028363B" w:rsidRPr="00534899" w:rsidRDefault="0028363B" w:rsidP="0028363B">
      <w:pPr>
        <w:spacing w:after="0" w:line="360" w:lineRule="auto"/>
        <w:jc w:val="both"/>
        <w:rPr>
          <w:rFonts w:cstheme="minorHAnsi"/>
        </w:rPr>
      </w:pPr>
      <w:r>
        <w:rPr>
          <w:rFonts w:cstheme="minorHAnsi"/>
        </w:rPr>
        <w:t>Wir planen den</w:t>
      </w:r>
      <w:r w:rsidRPr="00534899">
        <w:rPr>
          <w:rFonts w:cstheme="minorHAnsi"/>
        </w:rPr>
        <w:t xml:space="preserve"> Patienten nach Abschluss des zweiten Induktionszyklus mit Dasatinib bis zur Aufnahme auf die KMT-Station zwecks allogener Knochenmarkstransplantaiton zu behandeln (analog zu GMALL-Protokollen bei ALL). Der Kostenübernahmeantrag ist für die ambulante Therapie mit dem TKI in der Zeit zwischen 2. Induktionszyklus und der Stammzellspende vorgesehen. Aufgrund der engen Zusammenarbeit zwischen der Leukämiestation und KMT-Station unseres Hauses vergehen </w:t>
      </w:r>
      <w:r w:rsidRPr="00534899">
        <w:rPr>
          <w:rFonts w:cstheme="minorHAnsi"/>
        </w:rPr>
        <w:lastRenderedPageBreak/>
        <w:t>lediglich wenige Wochen zwischen Induktionstherapie und Stammzellspende. Insofern würden sich die Kosten auf einen überschaubaren Zeitraum von maximal 3 Wochen beschränken.</w:t>
      </w:r>
    </w:p>
    <w:p w:rsidR="0028363B" w:rsidRPr="00534899" w:rsidRDefault="0028363B" w:rsidP="0028363B">
      <w:pPr>
        <w:spacing w:after="0" w:line="360" w:lineRule="auto"/>
        <w:jc w:val="both"/>
        <w:rPr>
          <w:rFonts w:cstheme="minorHAnsi"/>
        </w:rPr>
      </w:pPr>
      <w:r w:rsidRPr="00534899">
        <w:rPr>
          <w:rFonts w:cstheme="minorHAnsi"/>
        </w:rPr>
        <w:t xml:space="preserve"> </w:t>
      </w:r>
    </w:p>
    <w:p w:rsidR="0028363B" w:rsidRPr="00534899" w:rsidRDefault="0028363B" w:rsidP="0028363B">
      <w:pPr>
        <w:spacing w:after="0" w:line="360" w:lineRule="auto"/>
        <w:jc w:val="both"/>
        <w:rPr>
          <w:rFonts w:cstheme="minorHAnsi"/>
        </w:rPr>
      </w:pPr>
      <w:r w:rsidRPr="00534899">
        <w:rPr>
          <w:rFonts w:cstheme="minorHAnsi"/>
        </w:rPr>
        <w:t>Bei bereits guten Ansprechen auf die hier durchgeführte Therapie und der schlechten Prognose (hoher Therapiedruck) bitten wir um eine zügige Bearbeitung und hoffen auf eine Zusage ihrerseits.</w:t>
      </w:r>
    </w:p>
    <w:p w:rsidR="00780E55" w:rsidRPr="00780E55" w:rsidRDefault="00780E55" w:rsidP="00780E55">
      <w:pPr>
        <w:spacing w:before="100" w:beforeAutospacing="1" w:line="276" w:lineRule="auto"/>
        <w:rPr>
          <w:rFonts w:cstheme="minorHAnsi"/>
          <w:color w:val="333333"/>
        </w:rPr>
      </w:pPr>
      <w:r w:rsidRPr="00780E55">
        <w:rPr>
          <w:rFonts w:cstheme="minorHAnsi"/>
          <w:color w:val="333333"/>
        </w:rPr>
        <w:t>Bei Rückfragen stehen wir Ihnen gerne jederzeit zur Verfügung.</w:t>
      </w:r>
    </w:p>
    <w:p w:rsidR="001B38F7" w:rsidRPr="001B38F7" w:rsidRDefault="001B38F7" w:rsidP="001B38F7">
      <w:pPr>
        <w:rPr>
          <w:rFonts w:cstheme="minorHAnsi"/>
        </w:rPr>
      </w:pPr>
    </w:p>
    <w:p w:rsidR="00836A23" w:rsidRPr="00836A23" w:rsidRDefault="004574D1" w:rsidP="004574D1">
      <w:pPr>
        <w:spacing w:after="0" w:line="360" w:lineRule="auto"/>
        <w:ind w:right="454"/>
        <w:jc w:val="both"/>
      </w:pPr>
      <w:r w:rsidRPr="00391CC9">
        <w:rPr>
          <w:rFonts w:cstheme="minorHAnsi"/>
        </w:rPr>
        <w:t>Mit bestem Dank für Ihre Mühe und freundlichen Grüßen</w:t>
      </w:r>
    </w:p>
    <w:sectPr w:rsidR="00836A23" w:rsidRPr="00836A23" w:rsidSect="004574D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7B" w:rsidRDefault="00A277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7B" w:rsidRDefault="00A277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A2777B" w:rsidP="00A2777B">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r>
            <w:fldChar w:fldCharType="begin"/>
          </w:r>
          <w:r>
            <w:instrText xml:space="preserve"> NUMPAGES   \* MERGEFORMAT </w:instrText>
          </w:r>
          <w:r>
            <w:fldChar w:fldCharType="separate"/>
          </w:r>
          <w:r>
            <w:rPr>
              <w:noProof/>
            </w:rPr>
            <w:t>2</w:t>
          </w:r>
          <w:r>
            <w:rPr>
              <w:noProof/>
            </w:rPr>
            <w:fldChar w:fldCharType="end"/>
          </w:r>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A2777B"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6"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8"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4"/>
  </w:num>
  <w:num w:numId="3">
    <w:abstractNumId w:val="5"/>
  </w:num>
  <w:num w:numId="4">
    <w:abstractNumId w:val="7"/>
  </w:num>
  <w:num w:numId="5">
    <w:abstractNumId w:val="6"/>
  </w:num>
  <w:num w:numId="6">
    <w:abstractNumId w:val="3"/>
  </w:num>
  <w:num w:numId="7">
    <w:abstractNumId w:val="10"/>
  </w:num>
  <w:num w:numId="8">
    <w:abstractNumId w:val="8"/>
  </w:num>
  <w:num w:numId="9">
    <w:abstractNumId w:val="1"/>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E1C07"/>
    <w:rsid w:val="009E4B5B"/>
    <w:rsid w:val="009E681A"/>
    <w:rsid w:val="009F3142"/>
    <w:rsid w:val="009F33C8"/>
    <w:rsid w:val="00A07DA7"/>
    <w:rsid w:val="00A100D5"/>
    <w:rsid w:val="00A20D70"/>
    <w:rsid w:val="00A22316"/>
    <w:rsid w:val="00A2777B"/>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C12DF6"/>
    <w:rsid w:val="00C13942"/>
    <w:rsid w:val="00C15722"/>
    <w:rsid w:val="00C17DFE"/>
    <w:rsid w:val="00C356A9"/>
    <w:rsid w:val="00C35ABE"/>
    <w:rsid w:val="00C65D38"/>
    <w:rsid w:val="00C67327"/>
    <w:rsid w:val="00C67929"/>
    <w:rsid w:val="00C7464C"/>
    <w:rsid w:val="00C8162A"/>
    <w:rsid w:val="00C931D8"/>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88B05-AEE5-4037-AADA-61E9C6138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418</Words>
  <Characters>2812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3</cp:revision>
  <cp:lastPrinted>2016-08-15T13:52:00Z</cp:lastPrinted>
  <dcterms:created xsi:type="dcterms:W3CDTF">2024-11-19T12:06:00Z</dcterms:created>
  <dcterms:modified xsi:type="dcterms:W3CDTF">2024-11-19T12:14:00Z</dcterms:modified>
</cp:coreProperties>
</file>