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4574D1" w:rsidRPr="00110446" w:rsidRDefault="00CD6EAD" w:rsidP="004574D1">
      <w:pPr>
        <w:pStyle w:val="Zwischenberschrift"/>
      </w:pPr>
      <w:r w:rsidRPr="0037544F">
        <w:t>Blinatumomab – ALL</w:t>
      </w:r>
      <w:r w:rsidRPr="0037544F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4574D1" w:rsidRPr="00975FD4" w:rsidRDefault="004574D1" w:rsidP="00780E55">
      <w:r w:rsidRPr="004556EC">
        <w:rPr>
          <w:rFonts w:cstheme="minorHAnsi"/>
        </w:rPr>
        <w:t xml:space="preserve">Antrag auf Kostenübernahme </w:t>
      </w:r>
      <w:r w:rsidR="00CD6EAD">
        <w:rPr>
          <w:rFonts w:cstheme="minorHAnsi"/>
        </w:rPr>
        <w:t xml:space="preserve">für eine Therapie mit </w:t>
      </w:r>
      <w:r w:rsidR="00CD6EAD" w:rsidRPr="00BE635E">
        <w:rPr>
          <w:rFonts w:cstheme="minorHAnsi"/>
        </w:rPr>
        <w:t>Blinatumomab</w:t>
      </w:r>
      <w:r w:rsidR="00780E55">
        <w:rPr>
          <w:rFonts w:cstheme="minorHAnsi"/>
        </w:rPr>
        <w:t xml:space="preserve"> </w:t>
      </w:r>
      <w:r w:rsidRPr="004556EC">
        <w:rPr>
          <w:rFonts w:cstheme="minorHAnsi"/>
        </w:rPr>
        <w:t xml:space="preserve">bei </w:t>
      </w:r>
      <w:r w:rsidRPr="007F10A2">
        <w:rPr>
          <w:rStyle w:val="Markierung"/>
        </w:rPr>
        <w:t>der Patientin Frau</w:t>
      </w:r>
      <w:r w:rsidRPr="004556EC">
        <w:rPr>
          <w:rFonts w:cstheme="minorHAnsi"/>
        </w:rPr>
        <w:t xml:space="preserve">, geb. am:  </w:t>
      </w:r>
      <w:r w:rsidRPr="007F10A2">
        <w:rPr>
          <w:rStyle w:val="Markierung"/>
        </w:rPr>
        <w:t>Versichertennummer</w:t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Inhalt:</w:t>
      </w:r>
    </w:p>
    <w:p w:rsidR="004574D1" w:rsidRPr="00634EF7" w:rsidRDefault="004574D1" w:rsidP="004574D1">
      <w:pPr>
        <w:spacing w:after="0" w:line="360" w:lineRule="auto"/>
        <w:jc w:val="both"/>
        <w:rPr>
          <w:rStyle w:val="Markierung"/>
          <w:rFonts w:ascii="Arial" w:hAnsi="Arial" w:cstheme="minorBidi"/>
          <w:shd w:val="clear" w:color="auto" w:fill="auto"/>
        </w:rPr>
      </w:pPr>
      <w:r w:rsidRPr="00391CC9">
        <w:rPr>
          <w:rStyle w:val="Markierung"/>
        </w:rPr>
        <w:t>Diagnosen</w:t>
      </w:r>
    </w:p>
    <w:p w:rsidR="004574D1" w:rsidRPr="00391CC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4574D1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 xml:space="preserve">Sehr geehrte Kolleg:innen der </w:t>
      </w:r>
      <w:r w:rsidRPr="00391CC9">
        <w:rPr>
          <w:rStyle w:val="Markierung"/>
        </w:rPr>
        <w:t>TKK</w:t>
      </w:r>
      <w:r w:rsidRPr="00391CC9">
        <w:rPr>
          <w:rFonts w:cstheme="minorHAnsi"/>
        </w:rPr>
        <w:t>,</w:t>
      </w:r>
    </w:p>
    <w:p w:rsidR="008A07F0" w:rsidRPr="00391CC9" w:rsidRDefault="008A07F0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 xml:space="preserve">Bei o.g. Patient:in liegt die Diagnose einer akuten Lymphoblastischen Leukämie (B-ALL) vor. Nach intensiver zwei Zyklen einer Induktions-Chemotherapie liegt MRD-Negativität vor. </w:t>
      </w: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 xml:space="preserve">Das weitere Behandlungskonzept sieht die Durchführung mehrerer Zyklen einer Konsolidierung-Chemotherapie vor. </w:t>
      </w: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>Als zielgerichtete Therapie kommt bei CD19+ B-ALL die Behandlung mit Blinatumomab in Frage. Blinatumomab ist ein bispezifischer Antikörper, der in Deutschland bereits für refraktäre oder rezidivierte Philadelphia-negative B-ALLs mit einer nachweisbaren Resterkrankung von &gt;0,1% zugelassen ist. Blinatumomab erzielt hohe Raten an molekularen Komplettremissionen bei guter Verträglichkeit, und hat einen signifikanten positiven Einfluss auf die Rezidivrate und das Gesamtüberleben. [Gökbuget et al, Blood 2018]. Bei o.g. Patientin liegt keine molekulare Resterkrankung vor, dennoch konnte auch für diese Patienten eine Wirksamkeit von Blinatumomab festgestellt werden [Litzow MR, Sun Z, Paletta E et al. ASH Annual Meeting 2022]. In einer jüngst vorgestellten Studie (ECOG-ACRIN E1910 Randomized Phase III trial) konnte gezeigt werden, dass Patienten mit MRD-Negativität nach Induktionstherapie von Blinatumomab als Ergänzung zur Konsolidierungstherapie profitieren und so eine mögliche Stammzelltransplantation vermieden werden könnte.</w:t>
      </w: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 xml:space="preserve">Der Hersteller hat aufgrund der herausragenden Studienergebnisse bereits eine Zulassung für Blinatumomab bei der EMA beantragt. Zudem hat das Kompetenz-Centrum Onkologie des medizinischen Dienstes die Gabe von Blinatumomab bei MRD-negativen ALL-Patienten bereits empfohlen. </w:t>
      </w: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 xml:space="preserve">Zusammenfassend sehen wir auch in Einklang mit dem. BSG-Urteil vom 26.9.2006 - B1 KR 1/06R folgende Voraussetzungen bei </w:t>
      </w:r>
      <w:r w:rsidRPr="00BE635E">
        <w:rPr>
          <w:rStyle w:val="Markierung"/>
          <w:rFonts w:cstheme="minorHAnsi"/>
        </w:rPr>
        <w:t>[Patient]</w:t>
      </w:r>
      <w:r w:rsidRPr="00BE635E">
        <w:rPr>
          <w:rFonts w:cstheme="minorHAnsi"/>
        </w:rPr>
        <w:t xml:space="preserve"> als definitiv erfüllt an:</w:t>
      </w:r>
    </w:p>
    <w:p w:rsidR="00CD6EAD" w:rsidRPr="00BE635E" w:rsidRDefault="00CD6EAD" w:rsidP="00CD6EAD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>Bei Erstdiagnose einer ALL besteht eine schwerwiegende (d.h. lebensbedrohliche UND die Lebensqualität auf Dauer nachhaltig beeinträchtigende) Erkrankung</w:t>
      </w:r>
    </w:p>
    <w:p w:rsidR="00CD6EAD" w:rsidRPr="00BE635E" w:rsidRDefault="00CD6EAD" w:rsidP="00CD6EAD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 xml:space="preserve">Aufgrund der in der o.g. Fachliteratur ausgewiesenen Ergebnisse ein eindeutiger Lebensvorteil mit der Behandlung mit Blinatumomab besteht. Die Wirksamkeit und Verträglichkeit von Blinatumomab wurde hierbei durch mehrere Phase-II und Phase-III Studien bestätigt. </w:t>
      </w: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lastRenderedPageBreak/>
        <w:t xml:space="preserve">Wir schlagen deshalb die Durchführung einer Therapie als Ergänzung zur Konsilidierungstherapie vor, für insgesamt 4 Zyklen Blinatumomab und bitten Sie daher, die Kostenübernahme inklusive der für die Behandlung notwendigen Hilfsmittel (Pumpensystem, Infusionssysteme) zuzusagen. Die Applikation von Blinatumomab erfolgt von Tag 1-28 eines 28 Tage Zyklus als kontinuierliche Dauerinfusion und wird nach stationärer Einleitung der Therapie ambulant durchgeführt. </w:t>
      </w:r>
    </w:p>
    <w:p w:rsidR="00CD6EAD" w:rsidRPr="00BE635E" w:rsidRDefault="00CD6EAD" w:rsidP="00CD6EAD">
      <w:pPr>
        <w:spacing w:after="0" w:line="360" w:lineRule="auto"/>
        <w:jc w:val="both"/>
        <w:rPr>
          <w:rFonts w:cstheme="minorHAnsi"/>
        </w:rPr>
      </w:pPr>
      <w:r w:rsidRPr="00BE635E">
        <w:rPr>
          <w:rFonts w:cstheme="minorHAnsi"/>
        </w:rPr>
        <w:t xml:space="preserve">Bei Rückfragen stehe ich unter Tel:  </w:t>
      </w:r>
      <w:r w:rsidRPr="00BE635E">
        <w:rPr>
          <w:rStyle w:val="Markierung"/>
          <w:rFonts w:cstheme="minorHAnsi"/>
        </w:rPr>
        <w:t>[Telefon]</w:t>
      </w:r>
      <w:r w:rsidRPr="00BE635E">
        <w:rPr>
          <w:rFonts w:cstheme="minorHAnsi"/>
        </w:rPr>
        <w:t xml:space="preserve"> oder unter Email: </w:t>
      </w:r>
      <w:r w:rsidRPr="00BE635E">
        <w:rPr>
          <w:rStyle w:val="Markierung"/>
          <w:rFonts w:cstheme="minorHAnsi"/>
        </w:rPr>
        <w:t>[Mail]</w:t>
      </w:r>
      <w:r w:rsidRPr="00BE635E">
        <w:rPr>
          <w:rFonts w:cstheme="minorHAnsi"/>
        </w:rPr>
        <w:t xml:space="preserve"> gerne zur Verfügung. Wir bitten Sie, uns Ihre Entscheidung bezüglich Kostenübernahme an die Faxnummer </w:t>
      </w:r>
      <w:r w:rsidRPr="00BE635E">
        <w:rPr>
          <w:rStyle w:val="Markierung"/>
          <w:rFonts w:cstheme="minorHAnsi"/>
        </w:rPr>
        <w:t>[Fax]</w:t>
      </w:r>
      <w:r w:rsidRPr="00BE635E">
        <w:rPr>
          <w:rFonts w:cstheme="minorHAnsi"/>
        </w:rPr>
        <w:t xml:space="preserve"> zu schicken.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>Bei Rückfragen stehen wir Ihnen gerne jederzeit zur Verfügung.</w:t>
      </w:r>
    </w:p>
    <w:p w:rsidR="001B38F7" w:rsidRPr="001B38F7" w:rsidRDefault="001B38F7" w:rsidP="001B38F7">
      <w:pPr>
        <w:rPr>
          <w:rFonts w:cstheme="minorHAnsi"/>
        </w:rPr>
      </w:pPr>
    </w:p>
    <w:p w:rsidR="004574D1" w:rsidRPr="00780E55" w:rsidRDefault="004574D1" w:rsidP="004574D1">
      <w:pPr>
        <w:spacing w:after="0" w:line="360" w:lineRule="auto"/>
        <w:ind w:right="454"/>
        <w:jc w:val="both"/>
        <w:rPr>
          <w:b/>
          <w:bCs/>
          <w:lang w:val="en-US"/>
        </w:rPr>
      </w:pPr>
      <w:r w:rsidRPr="00780E55">
        <w:rPr>
          <w:rStyle w:val="Fett"/>
          <w:lang w:val="en-US"/>
        </w:rPr>
        <w:t xml:space="preserve">Referenz: </w:t>
      </w:r>
    </w:p>
    <w:p w:rsidR="00CD6EAD" w:rsidRPr="003865D6" w:rsidRDefault="00CD6EAD" w:rsidP="003865D6">
      <w:pPr>
        <w:pStyle w:val="Listenabsatz"/>
        <w:numPr>
          <w:ilvl w:val="0"/>
          <w:numId w:val="12"/>
        </w:numPr>
        <w:spacing w:after="0" w:line="360" w:lineRule="auto"/>
        <w:jc w:val="both"/>
        <w:rPr>
          <w:rFonts w:cstheme="minorHAnsi"/>
          <w:lang w:val="en-US"/>
        </w:rPr>
      </w:pPr>
      <w:r w:rsidRPr="003865D6">
        <w:rPr>
          <w:rFonts w:cstheme="minorHAnsi"/>
          <w:lang w:val="en-US"/>
        </w:rPr>
        <w:t xml:space="preserve">Gökbuget N, Dombret H, Bonifacio M et al., Blood 2018, Blinatumomab for minimal residual disease in adults with B-cell precursor acute lymphoblastic leukemia </w:t>
      </w:r>
    </w:p>
    <w:p w:rsidR="00CD6EAD" w:rsidRPr="00CD6EAD" w:rsidRDefault="00CD6EAD" w:rsidP="003865D6">
      <w:pPr>
        <w:pStyle w:val="Listenabsatz"/>
        <w:numPr>
          <w:ilvl w:val="0"/>
          <w:numId w:val="12"/>
        </w:numPr>
        <w:spacing w:after="0" w:line="360" w:lineRule="auto"/>
        <w:jc w:val="both"/>
        <w:rPr>
          <w:rFonts w:cstheme="minorHAnsi"/>
          <w:lang w:val="en-US"/>
        </w:rPr>
      </w:pPr>
      <w:r w:rsidRPr="00CD6EAD">
        <w:rPr>
          <w:rFonts w:cstheme="minorHAnsi"/>
          <w:lang w:val="en-US"/>
        </w:rPr>
        <w:t>Litzow MR, Sun Z, Paletta E et al. ASH Annual Meeting 2022, Consolidation therapy with blinatumomab improves overall survival in newly diagnosed adult patients with B-lineage acute lymphoblastic leukemia in measurable residual disease negative remission: Results from the ECOG-ACRIN E1910 randomized phase III National Cooperative Clinical Trials Network trial.</w:t>
      </w:r>
    </w:p>
    <w:p w:rsidR="004574D1" w:rsidRPr="00391CC9" w:rsidRDefault="004574D1" w:rsidP="001B38F7">
      <w:pPr>
        <w:spacing w:after="0" w:line="360" w:lineRule="auto"/>
        <w:ind w:right="454"/>
        <w:jc w:val="both"/>
        <w:rPr>
          <w:rFonts w:cstheme="minorHAnsi"/>
          <w:lang w:val="en-US"/>
        </w:rPr>
      </w:pPr>
    </w:p>
    <w:p w:rsidR="004574D1" w:rsidRPr="001B38F7" w:rsidRDefault="004574D1" w:rsidP="004574D1">
      <w:pPr>
        <w:spacing w:after="0" w:line="360" w:lineRule="auto"/>
        <w:ind w:right="454"/>
        <w:jc w:val="both"/>
        <w:rPr>
          <w:rFonts w:cstheme="minorHAnsi"/>
          <w:lang w:val="en-US"/>
        </w:rPr>
      </w:pPr>
    </w:p>
    <w:p w:rsidR="00836A23" w:rsidRPr="00836A23" w:rsidRDefault="004574D1" w:rsidP="004574D1">
      <w:pPr>
        <w:spacing w:after="0" w:line="360" w:lineRule="auto"/>
        <w:ind w:right="454"/>
        <w:jc w:val="both"/>
      </w:pPr>
      <w:r w:rsidRPr="00391CC9">
        <w:rPr>
          <w:rFonts w:cstheme="minorHAnsi"/>
        </w:rPr>
        <w:t>Mit bestem Dank für Ihre Mühe und freundlichen Grüßen</w:t>
      </w:r>
    </w:p>
    <w:sectPr w:rsidR="00836A23" w:rsidRPr="00836A23" w:rsidSect="004574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307" w:rsidRDefault="002353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307" w:rsidRDefault="002353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235307" w:rsidP="00235307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2</w:t>
          </w:r>
          <w:r w:rsidR="000D2D59">
            <w:fldChar w:fldCharType="end"/>
          </w:r>
          <w:r w:rsidR="00FA51DE" w:rsidRPr="00201EF0"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235307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1D6124"/>
    <w:multiLevelType w:val="hybridMultilevel"/>
    <w:tmpl w:val="561283E6"/>
    <w:lvl w:ilvl="0" w:tplc="EA880B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654"/>
    <w:multiLevelType w:val="hybridMultilevel"/>
    <w:tmpl w:val="739A7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6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8" w15:restartNumberingAfterBreak="0">
    <w:nsid w:val="542D0AD0"/>
    <w:multiLevelType w:val="hybridMultilevel"/>
    <w:tmpl w:val="F998DE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21B38"/>
    <w:multiLevelType w:val="hybridMultilevel"/>
    <w:tmpl w:val="6E0E86BC"/>
    <w:lvl w:ilvl="0" w:tplc="7B7249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F1E74"/>
    <w:multiLevelType w:val="hybridMultilevel"/>
    <w:tmpl w:val="6FA4857A"/>
    <w:lvl w:ilvl="0" w:tplc="2D34A5E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F64677"/>
    <w:multiLevelType w:val="hybridMultilevel"/>
    <w:tmpl w:val="585AE2C2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35307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36D5"/>
    <w:rsid w:val="003343DA"/>
    <w:rsid w:val="00347517"/>
    <w:rsid w:val="00356BDA"/>
    <w:rsid w:val="003657C6"/>
    <w:rsid w:val="0037065B"/>
    <w:rsid w:val="0037626B"/>
    <w:rsid w:val="003855F6"/>
    <w:rsid w:val="003865D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75785"/>
    <w:rsid w:val="008A07F0"/>
    <w:rsid w:val="008A7870"/>
    <w:rsid w:val="008B4A9B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170BA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D6EAD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64D0-5DB5-44E3-B6C6-8C70CD17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2</Pages>
  <Words>473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Besprechungsprotokoll</vt:lpstr>
    </vt:vector>
  </TitlesOfParts>
  <Company>Microsoft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4</cp:revision>
  <cp:lastPrinted>2016-08-15T13:52:00Z</cp:lastPrinted>
  <dcterms:created xsi:type="dcterms:W3CDTF">2024-11-19T09:56:00Z</dcterms:created>
  <dcterms:modified xsi:type="dcterms:W3CDTF">2024-11-19T12:14:00Z</dcterms:modified>
</cp:coreProperties>
</file>