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27" w:type="dxa"/>
        <w:tblLayout w:type="fixed"/>
        <w:tblCellMar>
          <w:left w:w="71" w:type="dxa"/>
          <w:right w:w="71" w:type="dxa"/>
        </w:tblCellMar>
        <w:tblLook w:val="0000" w:firstRow="0" w:lastRow="0" w:firstColumn="0" w:lastColumn="0" w:noHBand="0" w:noVBand="0"/>
      </w:tblPr>
      <w:tblGrid>
        <w:gridCol w:w="9427"/>
      </w:tblGrid>
      <w:tr w:rsidR="00120D06" w:rsidTr="00E76B63">
        <w:tblPrEx>
          <w:tblCellMar>
            <w:top w:w="0" w:type="dxa"/>
            <w:bottom w:w="0" w:type="dxa"/>
          </w:tblCellMar>
        </w:tblPrEx>
        <w:trPr>
          <w:trHeight w:val="8665"/>
        </w:trPr>
        <w:tc>
          <w:tcPr>
            <w:tcW w:w="9427" w:type="dxa"/>
          </w:tcPr>
          <w:tbl>
            <w:tblPr>
              <w:tblW w:w="9427" w:type="dxa"/>
              <w:tblLayout w:type="fixed"/>
              <w:tblCellMar>
                <w:left w:w="71" w:type="dxa"/>
                <w:right w:w="71" w:type="dxa"/>
              </w:tblCellMar>
              <w:tblLook w:val="0000" w:firstRow="0" w:lastRow="0" w:firstColumn="0" w:lastColumn="0" w:noHBand="0" w:noVBand="0"/>
            </w:tblPr>
            <w:tblGrid>
              <w:gridCol w:w="567"/>
              <w:gridCol w:w="8860"/>
            </w:tblGrid>
            <w:tr w:rsidR="00120D06" w:rsidRPr="000F54CA" w:rsidTr="00E76B63">
              <w:tblPrEx>
                <w:tblCellMar>
                  <w:top w:w="0" w:type="dxa"/>
                  <w:bottom w:w="0" w:type="dxa"/>
                </w:tblCellMar>
              </w:tblPrEx>
              <w:tc>
                <w:tcPr>
                  <w:tcW w:w="9427" w:type="dxa"/>
                  <w:gridSpan w:val="2"/>
                </w:tcPr>
                <w:p w:rsidR="00120D06" w:rsidRPr="000F54CA" w:rsidRDefault="00120D06" w:rsidP="00E76B63">
                  <w:pPr>
                    <w:pStyle w:val="berschrift1"/>
                    <w:jc w:val="center"/>
                  </w:pPr>
                  <w:bookmarkStart w:id="0" w:name="_GoBack"/>
                  <w:bookmarkEnd w:id="0"/>
                  <w:r w:rsidRPr="000F54CA">
                    <w:t>Gebrauchsinformation und Fachinformation</w:t>
                  </w:r>
                </w:p>
                <w:p w:rsidR="00120D06" w:rsidRPr="000F54CA" w:rsidRDefault="00120D06" w:rsidP="00E76B63">
                  <w:pPr>
                    <w:jc w:val="center"/>
                    <w:rPr>
                      <w:b/>
                    </w:rPr>
                  </w:pPr>
                </w:p>
              </w:tc>
            </w:tr>
            <w:tr w:rsidR="00120D06" w:rsidRPr="000F54CA" w:rsidTr="00E76B63">
              <w:tblPrEx>
                <w:tblCellMar>
                  <w:top w:w="0" w:type="dxa"/>
                  <w:bottom w:w="0" w:type="dxa"/>
                </w:tblCellMar>
              </w:tblPrEx>
              <w:tc>
                <w:tcPr>
                  <w:tcW w:w="9427" w:type="dxa"/>
                  <w:gridSpan w:val="2"/>
                </w:tcPr>
                <w:p w:rsidR="00120D06" w:rsidRPr="000F54CA" w:rsidRDefault="00120D06" w:rsidP="00E76B63">
                  <w:pPr>
                    <w:jc w:val="center"/>
                    <w:rPr>
                      <w:b/>
                      <w:highlight w:val="lightGray"/>
                    </w:rPr>
                  </w:pPr>
                  <w:r w:rsidRPr="00F054F1">
                    <w:rPr>
                      <w:b/>
                    </w:rPr>
                    <w:t>Bestrahltes gepooltes Thrombozytenkonzentrat aus Vollbluten</w:t>
                  </w:r>
                  <w:r w:rsidRPr="00F054F1">
                    <w:rPr>
                      <w:b/>
                    </w:rPr>
                    <w:t>t</w:t>
                  </w:r>
                  <w:r w:rsidRPr="00F054F1">
                    <w:rPr>
                      <w:b/>
                    </w:rPr>
                    <w:t>nahme</w:t>
                  </w:r>
                </w:p>
                <w:p w:rsidR="00120D06" w:rsidRPr="000F54CA" w:rsidRDefault="00120D06" w:rsidP="00E76B63">
                  <w:pPr>
                    <w:jc w:val="center"/>
                    <w:rPr>
                      <w:b/>
                    </w:rPr>
                  </w:pPr>
                </w:p>
              </w:tc>
            </w:tr>
            <w:tr w:rsidR="00120D06" w:rsidRPr="000F54CA" w:rsidTr="00E76B63">
              <w:tblPrEx>
                <w:tblCellMar>
                  <w:top w:w="0" w:type="dxa"/>
                  <w:bottom w:w="0" w:type="dxa"/>
                </w:tblCellMar>
              </w:tblPrEx>
              <w:tc>
                <w:tcPr>
                  <w:tcW w:w="567" w:type="dxa"/>
                </w:tcPr>
                <w:p w:rsidR="00120D06" w:rsidRPr="000F54CA" w:rsidRDefault="00120D06" w:rsidP="00E76B63">
                  <w:pPr>
                    <w:jc w:val="both"/>
                    <w:rPr>
                      <w:b/>
                    </w:rPr>
                  </w:pPr>
                  <w:r w:rsidRPr="000F54CA">
                    <w:rPr>
                      <w:b/>
                    </w:rPr>
                    <w:t>1.</w:t>
                  </w:r>
                </w:p>
              </w:tc>
              <w:tc>
                <w:tcPr>
                  <w:tcW w:w="8860" w:type="dxa"/>
                </w:tcPr>
                <w:p w:rsidR="00120D06" w:rsidRPr="000F54CA" w:rsidRDefault="00120D06" w:rsidP="00E76B63">
                  <w:pPr>
                    <w:jc w:val="both"/>
                    <w:rPr>
                      <w:b/>
                    </w:rPr>
                  </w:pPr>
                  <w:r w:rsidRPr="000F54CA">
                    <w:rPr>
                      <w:b/>
                    </w:rPr>
                    <w:t>Identifizierung des Arzneimittels</w:t>
                  </w:r>
                </w:p>
                <w:p w:rsidR="00120D06" w:rsidRPr="000F54CA" w:rsidRDefault="00120D06" w:rsidP="00E76B63">
                  <w:pPr>
                    <w:jc w:val="both"/>
                    <w:rPr>
                      <w:b/>
                    </w:rPr>
                  </w:pPr>
                  <w:r w:rsidRPr="000F54CA">
                    <w:rPr>
                      <w:b/>
                    </w:rPr>
                    <w:t>a) Bezeichnung</w:t>
                  </w:r>
                </w:p>
                <w:p w:rsidR="00120D06" w:rsidRDefault="00120D06" w:rsidP="00E76B63">
                  <w:pPr>
                    <w:jc w:val="both"/>
                  </w:pPr>
                  <w:r>
                    <w:t>TKSF PAS (UKE) bestrahlt</w:t>
                  </w:r>
                </w:p>
                <w:p w:rsidR="00120D06" w:rsidRPr="000F54CA" w:rsidRDefault="00120D06" w:rsidP="00E76B63">
                  <w:pPr>
                    <w:jc w:val="both"/>
                  </w:pPr>
                </w:p>
              </w:tc>
            </w:tr>
            <w:tr w:rsidR="00120D06" w:rsidRPr="000F54CA" w:rsidTr="00E76B63">
              <w:tblPrEx>
                <w:tblCellMar>
                  <w:top w:w="0" w:type="dxa"/>
                  <w:bottom w:w="0" w:type="dxa"/>
                </w:tblCellMar>
              </w:tblPrEx>
              <w:tc>
                <w:tcPr>
                  <w:tcW w:w="567" w:type="dxa"/>
                </w:tcPr>
                <w:p w:rsidR="00120D06" w:rsidRPr="000F54CA" w:rsidRDefault="00120D06" w:rsidP="00E76B63">
                  <w:pPr>
                    <w:jc w:val="both"/>
                    <w:rPr>
                      <w:b/>
                    </w:rPr>
                  </w:pPr>
                </w:p>
              </w:tc>
              <w:tc>
                <w:tcPr>
                  <w:tcW w:w="8860" w:type="dxa"/>
                </w:tcPr>
                <w:p w:rsidR="00120D06" w:rsidRPr="000F54CA" w:rsidRDefault="00120D06" w:rsidP="00E76B63">
                  <w:pPr>
                    <w:jc w:val="both"/>
                    <w:rPr>
                      <w:b/>
                    </w:rPr>
                  </w:pPr>
                  <w:r w:rsidRPr="000F54CA">
                    <w:rPr>
                      <w:b/>
                    </w:rPr>
                    <w:t xml:space="preserve">b) Stoffgruppe </w:t>
                  </w:r>
                </w:p>
                <w:p w:rsidR="00120D06" w:rsidRPr="000F54CA" w:rsidRDefault="00120D06" w:rsidP="00E76B63">
                  <w:pPr>
                    <w:jc w:val="both"/>
                  </w:pPr>
                  <w:r w:rsidRPr="000F54CA">
                    <w:t>Blutzubereitung, Thrombozyten zur Transfusion</w:t>
                  </w:r>
                </w:p>
                <w:p w:rsidR="00120D06" w:rsidRPr="000F54CA" w:rsidRDefault="00120D06" w:rsidP="00E76B63">
                  <w:pPr>
                    <w:jc w:val="both"/>
                  </w:pPr>
                </w:p>
              </w:tc>
            </w:tr>
            <w:tr w:rsidR="00120D06" w:rsidRPr="000F54CA" w:rsidTr="00E76B63">
              <w:tblPrEx>
                <w:tblCellMar>
                  <w:top w:w="0" w:type="dxa"/>
                  <w:bottom w:w="0" w:type="dxa"/>
                </w:tblCellMar>
              </w:tblPrEx>
              <w:tc>
                <w:tcPr>
                  <w:tcW w:w="567" w:type="dxa"/>
                </w:tcPr>
                <w:p w:rsidR="00120D06" w:rsidRPr="000F54CA" w:rsidRDefault="00120D06" w:rsidP="00E76B63">
                  <w:pPr>
                    <w:jc w:val="both"/>
                    <w:rPr>
                      <w:b/>
                    </w:rPr>
                  </w:pPr>
                  <w:r w:rsidRPr="000F54CA">
                    <w:rPr>
                      <w:b/>
                    </w:rPr>
                    <w:t>2.</w:t>
                  </w:r>
                </w:p>
              </w:tc>
              <w:tc>
                <w:tcPr>
                  <w:tcW w:w="8860" w:type="dxa"/>
                </w:tcPr>
                <w:p w:rsidR="00120D06" w:rsidRPr="000F54CA" w:rsidRDefault="00120D06" w:rsidP="00E76B63">
                  <w:pPr>
                    <w:jc w:val="both"/>
                    <w:rPr>
                      <w:b/>
                    </w:rPr>
                  </w:pPr>
                  <w:r w:rsidRPr="000F54CA">
                    <w:rPr>
                      <w:b/>
                    </w:rPr>
                    <w:t>Anwendungsgebiete</w:t>
                  </w:r>
                </w:p>
                <w:p w:rsidR="00120D06" w:rsidRPr="000F54CA" w:rsidRDefault="00120D06" w:rsidP="00E76B63">
                  <w:pPr>
                    <w:jc w:val="both"/>
                  </w:pPr>
                  <w:r w:rsidRPr="000F54CA">
                    <w:t>Die Gabe von Thrombozytenkonzentraten ist indiziert zur Behandlung einer Bl</w:t>
                  </w:r>
                  <w:r w:rsidRPr="000F54CA">
                    <w:t>u</w:t>
                  </w:r>
                  <w:r w:rsidRPr="000F54CA">
                    <w:t>tungsneigung, bedingt durch eine schwere Thrombozytopenie infolge throm</w:t>
                  </w:r>
                  <w:r w:rsidRPr="000F54CA">
                    <w:softHyphen/>
                    <w:t>bo</w:t>
                  </w:r>
                  <w:r w:rsidRPr="000F54CA">
                    <w:softHyphen/>
                    <w:t>zytärer Bildungsstörungen, im Notfall auch bei Umsatzstörungen, jedoch nicht bei einer niedrigen Thrombozytenzahl allein. Damit durch die Zufuhr von Plätt</w:t>
                  </w:r>
                  <w:r w:rsidRPr="000F54CA">
                    <w:softHyphen/>
                    <w:t>chen eine Besserung der thrombozytär bedingten Blutungsneigung zu erwarten ist, sollte vor der Behandlung zunächst deren Ursache abgeklärt werden.</w:t>
                  </w:r>
                </w:p>
                <w:p w:rsidR="00120D06" w:rsidRPr="000F54CA" w:rsidRDefault="00120D06" w:rsidP="00E76B63">
                  <w:pPr>
                    <w:jc w:val="both"/>
                  </w:pPr>
                  <w:r w:rsidRPr="000F54CA">
                    <w:t>Das mit mindestens 25 Gy bestrahlte Thrombozytenkonzentrat ist besonders g</w:t>
                  </w:r>
                  <w:r w:rsidRPr="000F54CA">
                    <w:t>e</w:t>
                  </w:r>
                  <w:r w:rsidRPr="000F54CA">
                    <w:t>eignet zur Anwendung bei gefährdeten Patienten, bei denen eine transfusions</w:t>
                  </w:r>
                  <w:r w:rsidRPr="000F54CA">
                    <w:softHyphen/>
                    <w:t xml:space="preserve">assoziierte Graft-versus-Host-Reaktion vermieden werden soll, wie </w:t>
                  </w:r>
                </w:p>
                <w:p w:rsidR="00120D06" w:rsidRPr="000F54CA" w:rsidRDefault="00120D06" w:rsidP="00120D06">
                  <w:pPr>
                    <w:numPr>
                      <w:ilvl w:val="0"/>
                      <w:numId w:val="1"/>
                    </w:numPr>
                    <w:tabs>
                      <w:tab w:val="left" w:pos="567"/>
                      <w:tab w:val="left" w:pos="1134"/>
                      <w:tab w:val="left" w:pos="2268"/>
                      <w:tab w:val="left" w:pos="3402"/>
                      <w:tab w:val="left" w:pos="4536"/>
                      <w:tab w:val="left" w:pos="5670"/>
                      <w:tab w:val="left" w:pos="6804"/>
                      <w:tab w:val="left" w:pos="7938"/>
                      <w:tab w:val="left" w:pos="9072"/>
                    </w:tabs>
                    <w:ind w:right="638"/>
                    <w:jc w:val="both"/>
                  </w:pPr>
                  <w:r w:rsidRPr="000F54CA">
                    <w:t>Föten (intrauterine Transfusion)</w:t>
                  </w:r>
                </w:p>
                <w:p w:rsidR="00120D06" w:rsidRPr="000F54CA" w:rsidRDefault="00120D06" w:rsidP="00120D06">
                  <w:pPr>
                    <w:numPr>
                      <w:ilvl w:val="0"/>
                      <w:numId w:val="1"/>
                    </w:numPr>
                    <w:tabs>
                      <w:tab w:val="left" w:pos="567"/>
                      <w:tab w:val="left" w:pos="1134"/>
                      <w:tab w:val="left" w:pos="2268"/>
                      <w:tab w:val="left" w:pos="3402"/>
                      <w:tab w:val="left" w:pos="4536"/>
                      <w:tab w:val="left" w:pos="5670"/>
                      <w:tab w:val="left" w:pos="6804"/>
                      <w:tab w:val="left" w:pos="7938"/>
                      <w:tab w:val="left" w:pos="9072"/>
                    </w:tabs>
                    <w:ind w:right="638"/>
                    <w:jc w:val="both"/>
                  </w:pPr>
                  <w:r w:rsidRPr="000F54CA">
                    <w:t xml:space="preserve">Neugeborenen nach intrauterinen Transfusionen </w:t>
                  </w:r>
                </w:p>
                <w:p w:rsidR="00120D06" w:rsidRPr="000F54CA" w:rsidRDefault="00120D06" w:rsidP="00120D06">
                  <w:pPr>
                    <w:numPr>
                      <w:ilvl w:val="0"/>
                      <w:numId w:val="1"/>
                    </w:numPr>
                    <w:tabs>
                      <w:tab w:val="left" w:pos="567"/>
                      <w:tab w:val="left" w:pos="1134"/>
                      <w:tab w:val="left" w:pos="2268"/>
                      <w:tab w:val="left" w:pos="3402"/>
                      <w:tab w:val="left" w:pos="4536"/>
                      <w:tab w:val="left" w:pos="5670"/>
                      <w:tab w:val="left" w:pos="6804"/>
                      <w:tab w:val="left" w:pos="7938"/>
                    </w:tabs>
                    <w:ind w:right="284"/>
                    <w:jc w:val="both"/>
                  </w:pPr>
                  <w:r w:rsidRPr="000F54CA">
                    <w:t xml:space="preserve">Neugeborenen bei Verdacht auf Immundefizienz, </w:t>
                  </w:r>
                </w:p>
                <w:p w:rsidR="00120D06" w:rsidRPr="000F54CA" w:rsidRDefault="00120D06" w:rsidP="00120D06">
                  <w:pPr>
                    <w:numPr>
                      <w:ilvl w:val="0"/>
                      <w:numId w:val="1"/>
                    </w:numPr>
                    <w:tabs>
                      <w:tab w:val="left" w:pos="567"/>
                      <w:tab w:val="left" w:pos="1134"/>
                      <w:tab w:val="left" w:pos="2268"/>
                      <w:tab w:val="left" w:pos="3402"/>
                      <w:tab w:val="left" w:pos="4536"/>
                      <w:tab w:val="left" w:pos="5670"/>
                      <w:tab w:val="left" w:pos="6804"/>
                      <w:tab w:val="left" w:pos="7938"/>
                    </w:tabs>
                    <w:ind w:right="284"/>
                    <w:jc w:val="both"/>
                  </w:pPr>
                  <w:r w:rsidRPr="000F54CA">
                    <w:t>Neugeborenen bei postpartaler Austauschtransfus</w:t>
                  </w:r>
                  <w:r w:rsidRPr="000F54CA">
                    <w:t>i</w:t>
                  </w:r>
                  <w:r w:rsidRPr="000F54CA">
                    <w:t>on</w:t>
                  </w:r>
                </w:p>
                <w:p w:rsidR="00120D06" w:rsidRPr="000F54CA" w:rsidRDefault="00120D06" w:rsidP="00120D06">
                  <w:pPr>
                    <w:numPr>
                      <w:ilvl w:val="0"/>
                      <w:numId w:val="1"/>
                    </w:numPr>
                    <w:tabs>
                      <w:tab w:val="left" w:pos="567"/>
                      <w:tab w:val="left" w:pos="1134"/>
                      <w:tab w:val="left" w:pos="2268"/>
                      <w:tab w:val="left" w:pos="3402"/>
                      <w:tab w:val="left" w:pos="4536"/>
                      <w:tab w:val="left" w:pos="5670"/>
                      <w:tab w:val="left" w:pos="6804"/>
                      <w:tab w:val="left" w:pos="7938"/>
                      <w:tab w:val="left" w:pos="9072"/>
                    </w:tabs>
                    <w:ind w:right="638"/>
                    <w:jc w:val="both"/>
                  </w:pPr>
                  <w:r w:rsidRPr="000F54CA">
                    <w:t>Patienten mit schwerem Immundefektsyndrom (SCID)</w:t>
                  </w:r>
                </w:p>
                <w:p w:rsidR="00120D06" w:rsidRPr="000F54CA" w:rsidRDefault="00120D06" w:rsidP="00120D06">
                  <w:pPr>
                    <w:numPr>
                      <w:ilvl w:val="0"/>
                      <w:numId w:val="1"/>
                    </w:numPr>
                    <w:tabs>
                      <w:tab w:val="left" w:pos="567"/>
                      <w:tab w:val="left" w:pos="1134"/>
                      <w:tab w:val="left" w:pos="2268"/>
                      <w:tab w:val="left" w:pos="3402"/>
                      <w:tab w:val="left" w:pos="4536"/>
                      <w:tab w:val="left" w:pos="5670"/>
                      <w:tab w:val="left" w:pos="6804"/>
                      <w:tab w:val="left" w:pos="7938"/>
                      <w:tab w:val="left" w:pos="9072"/>
                    </w:tabs>
                    <w:ind w:right="638"/>
                    <w:jc w:val="both"/>
                  </w:pPr>
                  <w:r w:rsidRPr="000F54CA">
                    <w:t>HLA-ausgewählte Thro</w:t>
                  </w:r>
                  <w:r w:rsidRPr="000F54CA">
                    <w:t>m</w:t>
                  </w:r>
                  <w:r w:rsidRPr="000F54CA">
                    <w:t xml:space="preserve">bozytenkonzentrate </w:t>
                  </w:r>
                </w:p>
                <w:p w:rsidR="00120D06" w:rsidRPr="000F54CA" w:rsidRDefault="00120D06" w:rsidP="00120D06">
                  <w:pPr>
                    <w:numPr>
                      <w:ilvl w:val="0"/>
                      <w:numId w:val="1"/>
                    </w:numPr>
                    <w:tabs>
                      <w:tab w:val="left" w:pos="567"/>
                      <w:tab w:val="left" w:pos="1134"/>
                      <w:tab w:val="left" w:pos="2268"/>
                      <w:tab w:val="left" w:pos="3402"/>
                      <w:tab w:val="left" w:pos="4536"/>
                      <w:tab w:val="left" w:pos="5670"/>
                      <w:tab w:val="left" w:pos="6804"/>
                      <w:tab w:val="left" w:pos="7938"/>
                    </w:tabs>
                    <w:ind w:right="284"/>
                    <w:jc w:val="both"/>
                  </w:pPr>
                  <w:r w:rsidRPr="000F54CA">
                    <w:t xml:space="preserve">Patienten bei allogener Transplantation hämatopoetischer Stammzellen (aus peripherem Blut, Knochenmark oder Nabelschnurblut) </w:t>
                  </w:r>
                </w:p>
                <w:p w:rsidR="00120D06" w:rsidRPr="000F54CA" w:rsidRDefault="00120D06" w:rsidP="00120D06">
                  <w:pPr>
                    <w:numPr>
                      <w:ilvl w:val="0"/>
                      <w:numId w:val="1"/>
                    </w:numPr>
                    <w:tabs>
                      <w:tab w:val="left" w:pos="567"/>
                      <w:tab w:val="left" w:pos="1134"/>
                      <w:tab w:val="left" w:pos="2268"/>
                      <w:tab w:val="left" w:pos="3402"/>
                      <w:tab w:val="left" w:pos="4536"/>
                      <w:tab w:val="left" w:pos="5670"/>
                      <w:tab w:val="left" w:pos="6804"/>
                      <w:tab w:val="left" w:pos="7938"/>
                    </w:tabs>
                    <w:ind w:right="284"/>
                    <w:jc w:val="both"/>
                  </w:pPr>
                  <w:r w:rsidRPr="000F54CA">
                    <w:t>Patienten mit M. Hodgkin und Non-Hodgkin-Lymphomen (alle Stadien)</w:t>
                  </w:r>
                </w:p>
                <w:p w:rsidR="00120D06" w:rsidRPr="000F54CA" w:rsidRDefault="00120D06" w:rsidP="00120D06">
                  <w:pPr>
                    <w:numPr>
                      <w:ilvl w:val="0"/>
                      <w:numId w:val="1"/>
                    </w:numPr>
                    <w:tabs>
                      <w:tab w:val="left" w:pos="567"/>
                      <w:tab w:val="left" w:pos="1134"/>
                      <w:tab w:val="left" w:pos="2268"/>
                      <w:tab w:val="left" w:pos="3402"/>
                      <w:tab w:val="left" w:pos="4536"/>
                      <w:tab w:val="left" w:pos="5670"/>
                      <w:tab w:val="left" w:pos="6804"/>
                      <w:tab w:val="left" w:pos="7938"/>
                    </w:tabs>
                    <w:ind w:right="284"/>
                    <w:jc w:val="both"/>
                  </w:pPr>
                  <w:r w:rsidRPr="000F54CA">
                    <w:t>Patienten bei Therapie mit Purin-Analoga (z.B. Fludarabin, Cladrabin, De</w:t>
                  </w:r>
                  <w:r w:rsidRPr="000F54CA">
                    <w:t>o</w:t>
                  </w:r>
                  <w:r w:rsidRPr="000F54CA">
                    <w:t>xycoformycin)</w:t>
                  </w:r>
                </w:p>
                <w:p w:rsidR="00120D06" w:rsidRPr="000F54CA" w:rsidRDefault="00120D06" w:rsidP="00120D06">
                  <w:pPr>
                    <w:numPr>
                      <w:ilvl w:val="0"/>
                      <w:numId w:val="1"/>
                    </w:numPr>
                    <w:tabs>
                      <w:tab w:val="left" w:pos="567"/>
                      <w:tab w:val="left" w:pos="1134"/>
                      <w:tab w:val="left" w:pos="2268"/>
                      <w:tab w:val="left" w:pos="3402"/>
                      <w:tab w:val="left" w:pos="4536"/>
                      <w:tab w:val="left" w:pos="5670"/>
                      <w:tab w:val="left" w:pos="6804"/>
                      <w:tab w:val="left" w:pos="7938"/>
                    </w:tabs>
                    <w:ind w:right="284"/>
                    <w:jc w:val="both"/>
                  </w:pPr>
                  <w:r w:rsidRPr="000F54CA">
                    <w:t>Patienten 7 – 14 Tage vor autologer Stammzellen</w:t>
                  </w:r>
                  <w:r w:rsidRPr="000F54CA">
                    <w:t>t</w:t>
                  </w:r>
                  <w:r w:rsidRPr="000F54CA">
                    <w:t>nahme</w:t>
                  </w:r>
                </w:p>
                <w:p w:rsidR="00120D06" w:rsidRPr="000F54CA" w:rsidRDefault="00120D06" w:rsidP="00120D06">
                  <w:pPr>
                    <w:numPr>
                      <w:ilvl w:val="0"/>
                      <w:numId w:val="1"/>
                    </w:numPr>
                    <w:tabs>
                      <w:tab w:val="left" w:pos="567"/>
                      <w:tab w:val="left" w:pos="1134"/>
                      <w:tab w:val="left" w:pos="2268"/>
                      <w:tab w:val="left" w:pos="3402"/>
                      <w:tab w:val="left" w:pos="4536"/>
                      <w:tab w:val="left" w:pos="5670"/>
                      <w:tab w:val="left" w:pos="6804"/>
                      <w:tab w:val="left" w:pos="7938"/>
                    </w:tabs>
                    <w:ind w:right="284"/>
                    <w:jc w:val="both"/>
                  </w:pPr>
                  <w:r w:rsidRPr="000F54CA">
                    <w:t>Patienten bei autologer Stammzelltransplantation (bis ca. drei Monate nach Tran</w:t>
                  </w:r>
                  <w:r w:rsidRPr="000F54CA">
                    <w:t>s</w:t>
                  </w:r>
                  <w:r w:rsidRPr="000F54CA">
                    <w:t>plantation)</w:t>
                  </w:r>
                </w:p>
                <w:p w:rsidR="00120D06" w:rsidRPr="000F54CA" w:rsidRDefault="00120D06" w:rsidP="00E76B63">
                  <w:pPr>
                    <w:ind w:right="284"/>
                    <w:jc w:val="both"/>
                  </w:pPr>
                </w:p>
                <w:p w:rsidR="00120D06" w:rsidRPr="000F54CA" w:rsidRDefault="00120D06" w:rsidP="00E76B63">
                  <w:pPr>
                    <w:ind w:right="284"/>
                    <w:jc w:val="both"/>
                  </w:pPr>
                  <w:r w:rsidRPr="000F54CA">
                    <w:t>Empfohlen wird die Verwendung von bestrahlten Thrombo</w:t>
                  </w:r>
                  <w:r w:rsidRPr="000F54CA">
                    <w:softHyphen/>
                    <w:t>zytenkonzentraten für:</w:t>
                  </w:r>
                </w:p>
                <w:p w:rsidR="00120D06" w:rsidRPr="000F54CA" w:rsidRDefault="00120D06" w:rsidP="00120D06">
                  <w:pPr>
                    <w:numPr>
                      <w:ilvl w:val="0"/>
                      <w:numId w:val="1"/>
                    </w:numPr>
                    <w:tabs>
                      <w:tab w:val="left" w:pos="567"/>
                      <w:tab w:val="left" w:pos="1134"/>
                      <w:tab w:val="left" w:pos="2268"/>
                      <w:tab w:val="left" w:pos="3402"/>
                      <w:tab w:val="left" w:pos="4536"/>
                      <w:tab w:val="left" w:pos="5670"/>
                      <w:tab w:val="left" w:pos="6804"/>
                      <w:tab w:val="left" w:pos="7938"/>
                    </w:tabs>
                    <w:ind w:right="284"/>
                    <w:jc w:val="both"/>
                  </w:pPr>
                  <w:r w:rsidRPr="000F54CA">
                    <w:t>Patienten mit schwächeren Formen angebor</w:t>
                  </w:r>
                  <w:r w:rsidRPr="000F54CA">
                    <w:t>e</w:t>
                  </w:r>
                  <w:r w:rsidRPr="000F54CA">
                    <w:t>ner Immundefizienz</w:t>
                  </w:r>
                </w:p>
                <w:p w:rsidR="00120D06" w:rsidRPr="000F54CA" w:rsidRDefault="00120D06" w:rsidP="00120D06">
                  <w:pPr>
                    <w:numPr>
                      <w:ilvl w:val="0"/>
                      <w:numId w:val="1"/>
                    </w:numPr>
                    <w:tabs>
                      <w:tab w:val="left" w:pos="567"/>
                      <w:tab w:val="left" w:pos="1134"/>
                      <w:tab w:val="left" w:pos="2268"/>
                      <w:tab w:val="left" w:pos="3402"/>
                      <w:tab w:val="left" w:pos="4536"/>
                      <w:tab w:val="left" w:pos="5670"/>
                      <w:tab w:val="left" w:pos="6804"/>
                      <w:tab w:val="left" w:pos="7938"/>
                    </w:tabs>
                    <w:ind w:right="284"/>
                    <w:jc w:val="both"/>
                  </w:pPr>
                  <w:r w:rsidRPr="000F54CA">
                    <w:t>Patienten nach allogener Transplantation hämat</w:t>
                  </w:r>
                  <w:r w:rsidRPr="000F54CA">
                    <w:t>o</w:t>
                  </w:r>
                  <w:r w:rsidRPr="000F54CA">
                    <w:t>poetischer Stammzellen bis zur Immunrekonstitution bzw. mindestens 6 Monate nach der Transpla</w:t>
                  </w:r>
                  <w:r w:rsidRPr="000F54CA">
                    <w:t>n</w:t>
                  </w:r>
                  <w:r w:rsidRPr="000F54CA">
                    <w:t>tation</w:t>
                  </w:r>
                  <w:r w:rsidRPr="000F54CA">
                    <w:rPr>
                      <w:i/>
                    </w:rPr>
                    <w:t xml:space="preserve"> </w:t>
                  </w:r>
                </w:p>
                <w:p w:rsidR="00120D06" w:rsidRPr="000F54CA" w:rsidRDefault="00120D06" w:rsidP="00120D06">
                  <w:pPr>
                    <w:numPr>
                      <w:ilvl w:val="0"/>
                      <w:numId w:val="1"/>
                    </w:numPr>
                    <w:tabs>
                      <w:tab w:val="left" w:pos="567"/>
                      <w:tab w:val="left" w:pos="1134"/>
                      <w:tab w:val="left" w:pos="2268"/>
                      <w:tab w:val="left" w:pos="3402"/>
                      <w:tab w:val="left" w:pos="4536"/>
                      <w:tab w:val="left" w:pos="5670"/>
                      <w:tab w:val="left" w:pos="6804"/>
                      <w:tab w:val="left" w:pos="7938"/>
                    </w:tabs>
                    <w:ind w:right="284"/>
                    <w:jc w:val="both"/>
                  </w:pPr>
                  <w:r w:rsidRPr="000F54CA">
                    <w:t>Patienten mit Graft-versus-Host-Reaktion nach allogener Transplantation hämat</w:t>
                  </w:r>
                  <w:r w:rsidRPr="000F54CA">
                    <w:t>o</w:t>
                  </w:r>
                  <w:r w:rsidRPr="000F54CA">
                    <w:t>poetischer Stammzellen</w:t>
                  </w:r>
                </w:p>
                <w:p w:rsidR="00120D06" w:rsidRPr="000F54CA" w:rsidRDefault="00120D06" w:rsidP="00E76B63">
                  <w:pPr>
                    <w:ind w:right="284"/>
                    <w:jc w:val="both"/>
                    <w:rPr>
                      <w:strike/>
                    </w:rPr>
                  </w:pPr>
                </w:p>
                <w:p w:rsidR="00120D06" w:rsidRPr="000F54CA" w:rsidRDefault="00120D06" w:rsidP="00E76B63">
                  <w:pPr>
                    <w:ind w:right="284"/>
                    <w:jc w:val="both"/>
                    <w:rPr>
                      <w:strike/>
                    </w:rPr>
                  </w:pPr>
                </w:p>
                <w:p w:rsidR="00120D06" w:rsidRPr="000F54CA" w:rsidRDefault="00120D06" w:rsidP="00E76B63">
                  <w:pPr>
                    <w:jc w:val="both"/>
                  </w:pPr>
                  <w:r w:rsidRPr="000F54CA">
                    <w:t>Keine ausreichende Evidenz liegt vor für die Verwendung von bestrahlten Thrombo</w:t>
                  </w:r>
                  <w:r w:rsidRPr="000F54CA">
                    <w:softHyphen/>
                    <w:t>zytenkonzentraten bei:</w:t>
                  </w:r>
                </w:p>
                <w:p w:rsidR="00120D06" w:rsidRPr="000F54CA" w:rsidRDefault="00120D06" w:rsidP="00120D06">
                  <w:pPr>
                    <w:numPr>
                      <w:ilvl w:val="0"/>
                      <w:numId w:val="1"/>
                    </w:numPr>
                    <w:tabs>
                      <w:tab w:val="left" w:pos="567"/>
                      <w:tab w:val="left" w:pos="1134"/>
                      <w:tab w:val="left" w:pos="2268"/>
                      <w:tab w:val="left" w:pos="3402"/>
                      <w:tab w:val="left" w:pos="4536"/>
                      <w:tab w:val="left" w:pos="5670"/>
                      <w:tab w:val="left" w:pos="6804"/>
                      <w:tab w:val="left" w:pos="7938"/>
                    </w:tabs>
                    <w:ind w:right="284"/>
                    <w:jc w:val="both"/>
                  </w:pPr>
                  <w:r w:rsidRPr="000F54CA">
                    <w:t>Frühgeborenen (bis zur Vollendung der 37. Schwangerschaftswoche)</w:t>
                  </w:r>
                </w:p>
                <w:p w:rsidR="00120D06" w:rsidRPr="000F54CA" w:rsidRDefault="00120D06" w:rsidP="00120D06">
                  <w:pPr>
                    <w:numPr>
                      <w:ilvl w:val="0"/>
                      <w:numId w:val="1"/>
                    </w:numPr>
                    <w:tabs>
                      <w:tab w:val="left" w:pos="567"/>
                      <w:tab w:val="left" w:pos="1134"/>
                      <w:tab w:val="left" w:pos="2268"/>
                      <w:tab w:val="left" w:pos="3402"/>
                      <w:tab w:val="left" w:pos="4536"/>
                      <w:tab w:val="left" w:pos="5670"/>
                      <w:tab w:val="left" w:pos="6804"/>
                      <w:tab w:val="left" w:pos="7938"/>
                    </w:tabs>
                    <w:ind w:right="284"/>
                    <w:jc w:val="both"/>
                  </w:pPr>
                  <w:r w:rsidRPr="000F54CA">
                    <w:t>Patienten mit AIDS, Leukämie und soliden Tumoren, inkl. Rhabdomyosa</w:t>
                  </w:r>
                  <w:r w:rsidRPr="000F54CA">
                    <w:t>r</w:t>
                  </w:r>
                  <w:r w:rsidRPr="000F54CA">
                    <w:t>kom und Neuroblastom</w:t>
                  </w:r>
                </w:p>
                <w:p w:rsidR="00120D06" w:rsidRPr="000F54CA" w:rsidRDefault="00120D06" w:rsidP="00E76B63">
                  <w:pPr>
                    <w:jc w:val="both"/>
                    <w:rPr>
                      <w:b/>
                    </w:rPr>
                  </w:pPr>
                </w:p>
              </w:tc>
            </w:tr>
            <w:tr w:rsidR="00120D06" w:rsidRPr="000F54CA" w:rsidTr="00E76B63">
              <w:tblPrEx>
                <w:tblCellMar>
                  <w:top w:w="0" w:type="dxa"/>
                  <w:bottom w:w="0" w:type="dxa"/>
                </w:tblCellMar>
              </w:tblPrEx>
              <w:tc>
                <w:tcPr>
                  <w:tcW w:w="567" w:type="dxa"/>
                </w:tcPr>
                <w:p w:rsidR="00120D06" w:rsidRPr="000F54CA" w:rsidRDefault="00120D06" w:rsidP="00E76B63">
                  <w:pPr>
                    <w:jc w:val="both"/>
                    <w:rPr>
                      <w:b/>
                    </w:rPr>
                  </w:pPr>
                  <w:r w:rsidRPr="000F54CA">
                    <w:rPr>
                      <w:b/>
                    </w:rPr>
                    <w:t>3.</w:t>
                  </w:r>
                </w:p>
              </w:tc>
              <w:tc>
                <w:tcPr>
                  <w:tcW w:w="8860" w:type="dxa"/>
                </w:tcPr>
                <w:p w:rsidR="00120D06" w:rsidRPr="000F54CA" w:rsidRDefault="00120D06" w:rsidP="00E76B63">
                  <w:pPr>
                    <w:jc w:val="both"/>
                    <w:rPr>
                      <w:b/>
                    </w:rPr>
                  </w:pPr>
                  <w:r w:rsidRPr="000F54CA">
                    <w:rPr>
                      <w:b/>
                    </w:rPr>
                    <w:t>Informationen zur Anwendung</w:t>
                  </w:r>
                </w:p>
                <w:p w:rsidR="00120D06" w:rsidRPr="000F54CA" w:rsidRDefault="00120D06" w:rsidP="00E76B63">
                  <w:pPr>
                    <w:jc w:val="both"/>
                    <w:rPr>
                      <w:b/>
                    </w:rPr>
                  </w:pPr>
                  <w:r w:rsidRPr="000F54CA">
                    <w:rPr>
                      <w:b/>
                    </w:rPr>
                    <w:t>a) Gegenanzeigen</w:t>
                  </w:r>
                </w:p>
                <w:p w:rsidR="00120D06" w:rsidRPr="000F54CA" w:rsidRDefault="00120D06" w:rsidP="00E76B63">
                  <w:pPr>
                    <w:jc w:val="both"/>
                  </w:pPr>
                  <w:r w:rsidRPr="000F54CA">
                    <w:t>Absolut:</w:t>
                  </w:r>
                </w:p>
                <w:p w:rsidR="00120D06" w:rsidRPr="000F54CA" w:rsidRDefault="00120D06" w:rsidP="00E76B63">
                  <w:pPr>
                    <w:jc w:val="both"/>
                  </w:pPr>
                  <w:r w:rsidRPr="000F54CA">
                    <w:t xml:space="preserve">- Eine absolute Kontraindikation für Thrombozytentransfusionen gibt es nicht. </w:t>
                  </w:r>
                </w:p>
                <w:p w:rsidR="00120D06" w:rsidRPr="000F54CA" w:rsidRDefault="00120D06" w:rsidP="00E76B63">
                  <w:pPr>
                    <w:spacing w:line="180" w:lineRule="exact"/>
                    <w:jc w:val="both"/>
                  </w:pPr>
                </w:p>
                <w:p w:rsidR="00120D06" w:rsidRPr="000F54CA" w:rsidRDefault="00120D06" w:rsidP="00E76B63">
                  <w:pPr>
                    <w:jc w:val="both"/>
                  </w:pPr>
                  <w:r w:rsidRPr="000F54CA">
                    <w:t>Relativ:</w:t>
                  </w:r>
                </w:p>
                <w:p w:rsidR="00120D06" w:rsidRPr="000F54CA" w:rsidRDefault="00120D06" w:rsidP="00120D06">
                  <w:pPr>
                    <w:numPr>
                      <w:ilvl w:val="0"/>
                      <w:numId w:val="1"/>
                    </w:numPr>
                    <w:tabs>
                      <w:tab w:val="left" w:pos="567"/>
                      <w:tab w:val="left" w:pos="1134"/>
                      <w:tab w:val="left" w:pos="2268"/>
                      <w:tab w:val="left" w:pos="3402"/>
                      <w:tab w:val="left" w:pos="4536"/>
                      <w:tab w:val="left" w:pos="5670"/>
                      <w:tab w:val="left" w:pos="6804"/>
                      <w:tab w:val="left" w:pos="7938"/>
                    </w:tabs>
                    <w:jc w:val="both"/>
                  </w:pPr>
                  <w:r w:rsidRPr="000F54CA">
                    <w:t>Bei potentiellen Empfängern eines Stammzelltransplantates (Knochenmark, peri</w:t>
                  </w:r>
                  <w:r w:rsidRPr="000F54CA">
                    <w:softHyphen/>
                    <w:t>phere Stammzellen, Nabelschnurblut), z.B. bei Patienten mit aplastischen Anä</w:t>
                  </w:r>
                  <w:r w:rsidRPr="000F54CA">
                    <w:softHyphen/>
                    <w:t>mien, Leukämien etc., ist die Gabe von Thrombozytenkonzentraten des Trans</w:t>
                  </w:r>
                  <w:r w:rsidRPr="000F54CA">
                    <w:softHyphen/>
                    <w:t>plan</w:t>
                  </w:r>
                  <w:r w:rsidRPr="000F54CA">
                    <w:softHyphen/>
                    <w:t>tatspenders und seiner Blutsverwandten vor der Transplantation u</w:t>
                  </w:r>
                  <w:r w:rsidRPr="000F54CA">
                    <w:t>n</w:t>
                  </w:r>
                  <w:r w:rsidRPr="000F54CA">
                    <w:t>bedingt zu vermeiden.</w:t>
                  </w:r>
                </w:p>
                <w:p w:rsidR="00120D06" w:rsidRPr="000F54CA" w:rsidRDefault="00120D06" w:rsidP="00120D06">
                  <w:pPr>
                    <w:numPr>
                      <w:ilvl w:val="0"/>
                      <w:numId w:val="1"/>
                    </w:numPr>
                    <w:tabs>
                      <w:tab w:val="left" w:pos="567"/>
                      <w:tab w:val="left" w:pos="1134"/>
                      <w:tab w:val="left" w:pos="2268"/>
                      <w:tab w:val="left" w:pos="3402"/>
                      <w:tab w:val="left" w:pos="4536"/>
                      <w:tab w:val="left" w:pos="5670"/>
                      <w:tab w:val="left" w:pos="6804"/>
                      <w:tab w:val="left" w:pos="7938"/>
                    </w:tabs>
                    <w:jc w:val="both"/>
                  </w:pPr>
                  <w:r w:rsidRPr="000F54CA">
                    <w:t>bekannten Überempfindlichkeiten des Empfängers gegen humane Plasmapr</w:t>
                  </w:r>
                  <w:r w:rsidRPr="000F54CA">
                    <w:t>o</w:t>
                  </w:r>
                  <w:r w:rsidRPr="000F54CA">
                    <w:t>teine,</w:t>
                  </w:r>
                </w:p>
                <w:p w:rsidR="00120D06" w:rsidRPr="000F54CA" w:rsidRDefault="00120D06" w:rsidP="00120D06">
                  <w:pPr>
                    <w:numPr>
                      <w:ilvl w:val="0"/>
                      <w:numId w:val="1"/>
                    </w:numPr>
                    <w:tabs>
                      <w:tab w:val="left" w:pos="567"/>
                      <w:tab w:val="left" w:pos="1134"/>
                      <w:tab w:val="left" w:pos="2268"/>
                      <w:tab w:val="left" w:pos="3402"/>
                      <w:tab w:val="left" w:pos="4536"/>
                      <w:tab w:val="left" w:pos="5670"/>
                      <w:tab w:val="left" w:pos="6804"/>
                      <w:tab w:val="left" w:pos="7938"/>
                    </w:tabs>
                    <w:jc w:val="both"/>
                  </w:pPr>
                  <w:r w:rsidRPr="000F54CA">
                    <w:t>bekannten Immunthrombozytopenien,</w:t>
                  </w:r>
                </w:p>
                <w:p w:rsidR="00120D06" w:rsidRPr="000F54CA" w:rsidRDefault="00120D06" w:rsidP="00120D06">
                  <w:pPr>
                    <w:numPr>
                      <w:ilvl w:val="0"/>
                      <w:numId w:val="1"/>
                    </w:numPr>
                    <w:tabs>
                      <w:tab w:val="left" w:pos="567"/>
                      <w:tab w:val="left" w:pos="1134"/>
                      <w:tab w:val="left" w:pos="2268"/>
                      <w:tab w:val="left" w:pos="3402"/>
                      <w:tab w:val="left" w:pos="4536"/>
                      <w:tab w:val="left" w:pos="5670"/>
                      <w:tab w:val="left" w:pos="6804"/>
                      <w:tab w:val="left" w:pos="7938"/>
                    </w:tabs>
                    <w:jc w:val="both"/>
                  </w:pPr>
                  <w:r w:rsidRPr="000F54CA">
                    <w:lastRenderedPageBreak/>
                    <w:t xml:space="preserve">posttransfusioneller Purpura, </w:t>
                  </w:r>
                </w:p>
                <w:p w:rsidR="00120D06" w:rsidRPr="000F54CA" w:rsidRDefault="00120D06" w:rsidP="00120D06">
                  <w:pPr>
                    <w:numPr>
                      <w:ilvl w:val="0"/>
                      <w:numId w:val="1"/>
                    </w:numPr>
                    <w:tabs>
                      <w:tab w:val="left" w:pos="567"/>
                      <w:tab w:val="left" w:pos="1134"/>
                      <w:tab w:val="left" w:pos="2268"/>
                      <w:tab w:val="left" w:pos="3402"/>
                      <w:tab w:val="left" w:pos="4536"/>
                      <w:tab w:val="left" w:pos="5670"/>
                      <w:tab w:val="left" w:pos="6804"/>
                      <w:tab w:val="left" w:pos="7938"/>
                    </w:tabs>
                    <w:jc w:val="both"/>
                  </w:pPr>
                  <w:r w:rsidRPr="000F54CA">
                    <w:t xml:space="preserve">heparininduzierter Thrombozytopenie, </w:t>
                  </w:r>
                </w:p>
                <w:p w:rsidR="00120D06" w:rsidRPr="000F54CA" w:rsidRDefault="00120D06" w:rsidP="00120D06">
                  <w:pPr>
                    <w:numPr>
                      <w:ilvl w:val="0"/>
                      <w:numId w:val="1"/>
                    </w:numPr>
                    <w:tabs>
                      <w:tab w:val="left" w:pos="567"/>
                      <w:tab w:val="left" w:pos="1134"/>
                      <w:tab w:val="left" w:pos="2268"/>
                      <w:tab w:val="left" w:pos="3402"/>
                      <w:tab w:val="left" w:pos="4536"/>
                      <w:tab w:val="left" w:pos="5670"/>
                      <w:tab w:val="left" w:pos="6804"/>
                      <w:tab w:val="left" w:pos="7938"/>
                    </w:tabs>
                    <w:jc w:val="both"/>
                  </w:pPr>
                  <w:r w:rsidRPr="000F54CA">
                    <w:t>kongenitalen Thrombozytenfunktionsstörungen, wie Thrombasthenie Glanz</w:t>
                  </w:r>
                  <w:r w:rsidRPr="000F54CA">
                    <w:softHyphen/>
                    <w:t>mann oder Bernard-Soulier-Syndrom.</w:t>
                  </w:r>
                </w:p>
                <w:p w:rsidR="00120D06" w:rsidRPr="000F54CA" w:rsidRDefault="00120D06" w:rsidP="00E76B63">
                  <w:pPr>
                    <w:jc w:val="both"/>
                    <w:rPr>
                      <w:b/>
                    </w:rPr>
                  </w:pPr>
                </w:p>
              </w:tc>
            </w:tr>
            <w:tr w:rsidR="00120D06" w:rsidRPr="000F54CA" w:rsidTr="00E76B63">
              <w:tblPrEx>
                <w:tblCellMar>
                  <w:top w:w="0" w:type="dxa"/>
                  <w:bottom w:w="0" w:type="dxa"/>
                </w:tblCellMar>
              </w:tblPrEx>
              <w:tc>
                <w:tcPr>
                  <w:tcW w:w="567" w:type="dxa"/>
                </w:tcPr>
                <w:p w:rsidR="00120D06" w:rsidRPr="000F54CA" w:rsidRDefault="00120D06" w:rsidP="00E76B63">
                  <w:pPr>
                    <w:jc w:val="both"/>
                    <w:rPr>
                      <w:b/>
                    </w:rPr>
                  </w:pPr>
                </w:p>
              </w:tc>
              <w:tc>
                <w:tcPr>
                  <w:tcW w:w="8860" w:type="dxa"/>
                </w:tcPr>
                <w:p w:rsidR="00120D06" w:rsidRPr="000F54CA" w:rsidRDefault="00120D06" w:rsidP="00E76B63">
                  <w:pPr>
                    <w:numPr>
                      <w:ilvl w:val="12"/>
                      <w:numId w:val="0"/>
                    </w:numPr>
                    <w:jc w:val="both"/>
                    <w:rPr>
                      <w:b/>
                    </w:rPr>
                  </w:pPr>
                  <w:r w:rsidRPr="000F54CA">
                    <w:rPr>
                      <w:b/>
                    </w:rPr>
                    <w:t xml:space="preserve">b) Vorsichtsmaßnahmen für die Anwendung </w:t>
                  </w:r>
                </w:p>
                <w:p w:rsidR="00120D06" w:rsidRPr="000F54CA" w:rsidRDefault="00120D06" w:rsidP="00E76B63">
                  <w:pPr>
                    <w:numPr>
                      <w:ilvl w:val="12"/>
                      <w:numId w:val="0"/>
                    </w:numPr>
                    <w:jc w:val="both"/>
                  </w:pPr>
                  <w:r w:rsidRPr="000F54CA">
                    <w:t>Thrombozytenkonzentrate sind in der Regel AB0-kompatibel über ein Transfus</w:t>
                  </w:r>
                  <w:r w:rsidRPr="000F54CA">
                    <w:t>i</w:t>
                  </w:r>
                  <w:r w:rsidRPr="000F54CA">
                    <w:t>onsgerät mit Standardfilter der Porengröße 170 bis 230 µm zu trans</w:t>
                  </w:r>
                  <w:r w:rsidRPr="000F54CA">
                    <w:softHyphen/>
                    <w:t>fundieren.</w:t>
                  </w:r>
                </w:p>
                <w:p w:rsidR="00120D06" w:rsidRPr="000F54CA" w:rsidRDefault="00120D06" w:rsidP="00E76B63">
                  <w:pPr>
                    <w:numPr>
                      <w:ilvl w:val="12"/>
                      <w:numId w:val="0"/>
                    </w:numPr>
                    <w:jc w:val="both"/>
                  </w:pPr>
                  <w:r w:rsidRPr="000F54CA">
                    <w:t>Beim Refraktärzustand gegenüber Thrombozytentransfusionen aufgrund einer A</w:t>
                  </w:r>
                  <w:r w:rsidRPr="000F54CA">
                    <w:t>l</w:t>
                  </w:r>
                  <w:r w:rsidRPr="000F54CA">
                    <w:t>loimmunisierung gegen Antigene des HLA- und ggf. HPA-Systems sind nach Mög</w:t>
                  </w:r>
                  <w:r w:rsidRPr="000F54CA">
                    <w:softHyphen/>
                    <w:t>lichkeit HLA-Klasse-I-kompatible und ggf. HPA-kompatible Thrombozyten</w:t>
                  </w:r>
                  <w:r w:rsidRPr="000F54CA">
                    <w:softHyphen/>
                    <w:t>kon</w:t>
                  </w:r>
                  <w:r w:rsidRPr="000F54CA">
                    <w:softHyphen/>
                    <w:t>zentrate zu transfundieren. Die Transfusionsgeschwindigkeit muss dem kli</w:t>
                  </w:r>
                  <w:r w:rsidRPr="000F54CA">
                    <w:softHyphen/>
                    <w:t>nischen Zustand des Patienten a</w:t>
                  </w:r>
                  <w:r w:rsidRPr="000F54CA">
                    <w:t>n</w:t>
                  </w:r>
                  <w:r w:rsidRPr="000F54CA">
                    <w:t>gepasst werden.</w:t>
                  </w:r>
                </w:p>
                <w:p w:rsidR="00120D06" w:rsidRPr="000F54CA" w:rsidRDefault="00120D06" w:rsidP="00E76B63">
                  <w:pPr>
                    <w:numPr>
                      <w:ilvl w:val="12"/>
                      <w:numId w:val="0"/>
                    </w:numPr>
                    <w:jc w:val="both"/>
                  </w:pPr>
                  <w:r w:rsidRPr="000F54CA">
                    <w:t>Bei neonataler Transfusion sollte sorgfältig auf Anzeichen einer Zitratint</w:t>
                  </w:r>
                  <w:r w:rsidRPr="000F54CA">
                    <w:t>o</w:t>
                  </w:r>
                  <w:r w:rsidRPr="000F54CA">
                    <w:t>xikation geachtet und die Transfusionsgeschwindigkeit dem klinischen Zustand ang</w:t>
                  </w:r>
                  <w:r w:rsidRPr="000F54CA">
                    <w:t>e</w:t>
                  </w:r>
                  <w:r w:rsidRPr="000F54CA">
                    <w:t>passt we</w:t>
                  </w:r>
                  <w:r w:rsidRPr="000F54CA">
                    <w:t>r</w:t>
                  </w:r>
                  <w:r w:rsidRPr="000F54CA">
                    <w:t>den.</w:t>
                  </w:r>
                </w:p>
                <w:p w:rsidR="00120D06" w:rsidRPr="0021013D" w:rsidRDefault="00120D06" w:rsidP="00E76B63">
                  <w:pPr>
                    <w:numPr>
                      <w:ilvl w:val="12"/>
                      <w:numId w:val="0"/>
                    </w:numPr>
                    <w:jc w:val="both"/>
                  </w:pPr>
                  <w:r w:rsidRPr="0021013D">
                    <w:t>Neben der Leukozytendepletion des Thrombozytenkonzentrates kann eine z</w:t>
                  </w:r>
                  <w:r w:rsidRPr="0021013D">
                    <w:t>u</w:t>
                  </w:r>
                  <w:r w:rsidRPr="0021013D">
                    <w:t>sätzliche Testung auf Anti-CMV-Antikörper zur Vermeidung einer CMV-Infektion in besonders gefährdeten Patientengruppen (s. u.) durchgeführt werden. Der ta</w:t>
                  </w:r>
                  <w:r w:rsidRPr="0021013D">
                    <w:t>t</w:t>
                  </w:r>
                  <w:r w:rsidRPr="0021013D">
                    <w:t>sächliche Beitrag zum Sicherheitsgewinn der zusätzlichen Testung wird zurzeit noch wissenschaf</w:t>
                  </w:r>
                  <w:r w:rsidRPr="0021013D">
                    <w:t>t</w:t>
                  </w:r>
                  <w:r w:rsidRPr="0021013D">
                    <w:t>lich diskutiert (s. Querschnitts-Leitlinien).</w:t>
                  </w:r>
                </w:p>
                <w:p w:rsidR="00120D06" w:rsidRPr="000F54CA" w:rsidRDefault="00120D06" w:rsidP="00E76B63">
                  <w:pPr>
                    <w:spacing w:line="180" w:lineRule="exact"/>
                    <w:jc w:val="both"/>
                  </w:pPr>
                </w:p>
                <w:p w:rsidR="00120D06" w:rsidRPr="000F54CA" w:rsidRDefault="00120D06" w:rsidP="00E76B63">
                  <w:pPr>
                    <w:jc w:val="both"/>
                  </w:pPr>
                  <w:r w:rsidRPr="000F54CA">
                    <w:t xml:space="preserve">Eine CMV-Infektion kann bei </w:t>
                  </w:r>
                </w:p>
                <w:p w:rsidR="00120D06" w:rsidRPr="000F54CA" w:rsidRDefault="00120D06" w:rsidP="00120D06">
                  <w:pPr>
                    <w:numPr>
                      <w:ilvl w:val="0"/>
                      <w:numId w:val="1"/>
                    </w:numPr>
                    <w:tabs>
                      <w:tab w:val="left" w:pos="567"/>
                      <w:tab w:val="left" w:pos="1134"/>
                      <w:tab w:val="left" w:pos="2268"/>
                      <w:tab w:val="left" w:pos="3402"/>
                      <w:tab w:val="left" w:pos="4536"/>
                      <w:tab w:val="left" w:pos="5670"/>
                      <w:tab w:val="left" w:pos="6804"/>
                      <w:tab w:val="left" w:pos="7938"/>
                    </w:tabs>
                    <w:ind w:right="284"/>
                    <w:jc w:val="both"/>
                  </w:pPr>
                  <w:r w:rsidRPr="000F54CA">
                    <w:t>Föten</w:t>
                  </w:r>
                </w:p>
                <w:p w:rsidR="00120D06" w:rsidRPr="000F54CA" w:rsidRDefault="00120D06" w:rsidP="00120D06">
                  <w:pPr>
                    <w:numPr>
                      <w:ilvl w:val="0"/>
                      <w:numId w:val="1"/>
                    </w:numPr>
                    <w:tabs>
                      <w:tab w:val="left" w:pos="567"/>
                      <w:tab w:val="left" w:pos="1134"/>
                      <w:tab w:val="left" w:pos="2268"/>
                      <w:tab w:val="left" w:pos="3402"/>
                      <w:tab w:val="left" w:pos="4536"/>
                      <w:tab w:val="left" w:pos="5670"/>
                      <w:tab w:val="left" w:pos="6804"/>
                      <w:tab w:val="left" w:pos="7938"/>
                    </w:tabs>
                    <w:ind w:right="284"/>
                    <w:jc w:val="both"/>
                  </w:pPr>
                  <w:r w:rsidRPr="000F54CA">
                    <w:t>Frühgebor</w:t>
                  </w:r>
                  <w:r w:rsidRPr="000F54CA">
                    <w:t>e</w:t>
                  </w:r>
                  <w:r w:rsidRPr="000F54CA">
                    <w:t>nen</w:t>
                  </w:r>
                </w:p>
                <w:p w:rsidR="00120D06" w:rsidRPr="000F54CA" w:rsidRDefault="00120D06" w:rsidP="00120D06">
                  <w:pPr>
                    <w:numPr>
                      <w:ilvl w:val="0"/>
                      <w:numId w:val="1"/>
                    </w:numPr>
                    <w:tabs>
                      <w:tab w:val="left" w:pos="567"/>
                      <w:tab w:val="left" w:pos="1134"/>
                      <w:tab w:val="left" w:pos="2268"/>
                      <w:tab w:val="left" w:pos="3402"/>
                      <w:tab w:val="left" w:pos="4536"/>
                      <w:tab w:val="left" w:pos="5670"/>
                      <w:tab w:val="left" w:pos="6804"/>
                      <w:tab w:val="left" w:pos="7938"/>
                    </w:tabs>
                    <w:ind w:right="284"/>
                    <w:jc w:val="both"/>
                  </w:pPr>
                  <w:r w:rsidRPr="000F54CA">
                    <w:t>Patienten mit erworbenen (AIDS) oder angeborenen Immundefekten</w:t>
                  </w:r>
                </w:p>
                <w:p w:rsidR="00120D06" w:rsidRPr="000F54CA" w:rsidRDefault="00120D06" w:rsidP="00120D06">
                  <w:pPr>
                    <w:numPr>
                      <w:ilvl w:val="0"/>
                      <w:numId w:val="1"/>
                    </w:numPr>
                    <w:tabs>
                      <w:tab w:val="left" w:pos="567"/>
                      <w:tab w:val="left" w:pos="1134"/>
                      <w:tab w:val="left" w:pos="2268"/>
                      <w:tab w:val="left" w:pos="3402"/>
                      <w:tab w:val="left" w:pos="4536"/>
                      <w:tab w:val="left" w:pos="5670"/>
                      <w:tab w:val="left" w:pos="6804"/>
                      <w:tab w:val="left" w:pos="7938"/>
                    </w:tabs>
                    <w:ind w:right="284"/>
                    <w:jc w:val="both"/>
                  </w:pPr>
                  <w:r w:rsidRPr="000F54CA">
                    <w:t>Em</w:t>
                  </w:r>
                  <w:r w:rsidRPr="000F54CA">
                    <w:t>p</w:t>
                  </w:r>
                  <w:r w:rsidRPr="000F54CA">
                    <w:t>fängern eines allogenen Stammzellpräparates</w:t>
                  </w:r>
                </w:p>
                <w:p w:rsidR="00120D06" w:rsidRDefault="00120D06" w:rsidP="00E76B63">
                  <w:pPr>
                    <w:jc w:val="both"/>
                  </w:pPr>
                  <w:r w:rsidRPr="000F54CA">
                    <w:t>zu schweren Erkrankungen führen.</w:t>
                  </w:r>
                </w:p>
                <w:p w:rsidR="00120D06" w:rsidRPr="00124750" w:rsidRDefault="00120D06" w:rsidP="00E76B63">
                  <w:pPr>
                    <w:pStyle w:val="StandardBlocksatz"/>
                  </w:pPr>
                </w:p>
              </w:tc>
            </w:tr>
            <w:tr w:rsidR="00120D06" w:rsidRPr="000F54CA" w:rsidTr="00E76B63">
              <w:tblPrEx>
                <w:tblCellMar>
                  <w:top w:w="0" w:type="dxa"/>
                  <w:bottom w:w="0" w:type="dxa"/>
                </w:tblCellMar>
              </w:tblPrEx>
              <w:tc>
                <w:tcPr>
                  <w:tcW w:w="567" w:type="dxa"/>
                </w:tcPr>
                <w:p w:rsidR="00120D06" w:rsidRPr="000F54CA" w:rsidRDefault="00120D06" w:rsidP="00E76B63">
                  <w:pPr>
                    <w:jc w:val="both"/>
                    <w:rPr>
                      <w:b/>
                    </w:rPr>
                  </w:pPr>
                </w:p>
              </w:tc>
              <w:tc>
                <w:tcPr>
                  <w:tcW w:w="8860" w:type="dxa"/>
                </w:tcPr>
                <w:p w:rsidR="00120D06" w:rsidRPr="000F54CA" w:rsidRDefault="00120D06" w:rsidP="00E76B63">
                  <w:pPr>
                    <w:jc w:val="both"/>
                    <w:rPr>
                      <w:b/>
                    </w:rPr>
                  </w:pPr>
                  <w:r w:rsidRPr="000F54CA">
                    <w:rPr>
                      <w:b/>
                    </w:rPr>
                    <w:t>c) Wechselwirkungen mit anderen Arzneimitteln, soweit sie die Wirkungs</w:t>
                  </w:r>
                  <w:r w:rsidRPr="000F54CA">
                    <w:rPr>
                      <w:b/>
                    </w:rPr>
                    <w:softHyphen/>
                    <w:t>weise des Arzneimittels beeinflussen können und Hauptinkompatibilitäten</w:t>
                  </w:r>
                </w:p>
                <w:p w:rsidR="00120D06" w:rsidRPr="000F54CA" w:rsidRDefault="00120D06" w:rsidP="00E76B63">
                  <w:pPr>
                    <w:numPr>
                      <w:ilvl w:val="12"/>
                      <w:numId w:val="0"/>
                    </w:numPr>
                    <w:jc w:val="both"/>
                  </w:pPr>
                  <w:r w:rsidRPr="000F54CA">
                    <w:t>Durch Medikamente, die die Thrombozytenfunktion beeinflussen, kann die Wir</w:t>
                  </w:r>
                  <w:r w:rsidRPr="000F54CA">
                    <w:softHyphen/>
                    <w:t>kung von Thrombozytenkonzentraten vermindert bzw. aufgehoben werden. W</w:t>
                  </w:r>
                  <w:r w:rsidRPr="000F54CA">
                    <w:t>e</w:t>
                  </w:r>
                  <w:r w:rsidRPr="000F54CA">
                    <w:t>gen der Gefahr von Gerinnselbildungen dürfen kalziumhaltige Lösungen nicht gleichzeitig in demselben Schlauchsystem gegeben werden. Die Beimischung von Medikamenten zum Thrombozytenkonzentrat ist nicht zulässig.</w:t>
                  </w:r>
                </w:p>
                <w:p w:rsidR="00120D06" w:rsidRPr="000F54CA" w:rsidRDefault="00120D06" w:rsidP="00E76B63">
                  <w:pPr>
                    <w:jc w:val="both"/>
                    <w:rPr>
                      <w:b/>
                    </w:rPr>
                  </w:pPr>
                </w:p>
              </w:tc>
            </w:tr>
            <w:tr w:rsidR="00120D06" w:rsidRPr="000F54CA" w:rsidTr="00E76B63">
              <w:tblPrEx>
                <w:tblCellMar>
                  <w:top w:w="0" w:type="dxa"/>
                  <w:bottom w:w="0" w:type="dxa"/>
                </w:tblCellMar>
              </w:tblPrEx>
              <w:tc>
                <w:tcPr>
                  <w:tcW w:w="567" w:type="dxa"/>
                </w:tcPr>
                <w:p w:rsidR="00120D06" w:rsidRPr="000F54CA" w:rsidRDefault="00120D06" w:rsidP="00E76B63">
                  <w:pPr>
                    <w:jc w:val="both"/>
                    <w:rPr>
                      <w:b/>
                    </w:rPr>
                  </w:pPr>
                </w:p>
              </w:tc>
              <w:tc>
                <w:tcPr>
                  <w:tcW w:w="8860" w:type="dxa"/>
                </w:tcPr>
                <w:p w:rsidR="00120D06" w:rsidRPr="000F54CA" w:rsidRDefault="00120D06" w:rsidP="00E76B63">
                  <w:pPr>
                    <w:jc w:val="both"/>
                    <w:rPr>
                      <w:b/>
                    </w:rPr>
                  </w:pPr>
                  <w:r w:rsidRPr="000F54CA">
                    <w:rPr>
                      <w:b/>
                    </w:rPr>
                    <w:t>d) Verwendung für besondere Personengruppen</w:t>
                  </w:r>
                </w:p>
                <w:p w:rsidR="00120D06" w:rsidRPr="000F54CA" w:rsidRDefault="00120D06" w:rsidP="00E76B63">
                  <w:pPr>
                    <w:jc w:val="both"/>
                  </w:pPr>
                  <w:r w:rsidRPr="000F54CA">
                    <w:rPr>
                      <w:u w:val="single"/>
                    </w:rPr>
                    <w:t>Bei Rh (D) - negativen Mädchen und Frauen im gebärfähigen Alter</w:t>
                  </w:r>
                  <w:r w:rsidRPr="000F54CA">
                    <w:t xml:space="preserve"> ist wegen der praktisch in allen Thrombozytenkonzentraten vorhandenen Kontamination mit Erythrozyten die Transfusion von Thrombozytenkonzentraten Rh (D)-positiver Spender mit Ausnahme von lebensbedrohlichen Situationen unbedingt zu ve</w:t>
                  </w:r>
                  <w:r w:rsidRPr="000F54CA">
                    <w:t>r</w:t>
                  </w:r>
                  <w:r w:rsidRPr="000F54CA">
                    <w:t>meiden. Die Transfusion von Thrombozytenkonzentraten Rh (D)-positiver Spe</w:t>
                  </w:r>
                  <w:r w:rsidRPr="000F54CA">
                    <w:t>n</w:t>
                  </w:r>
                  <w:r w:rsidRPr="000F54CA">
                    <w:t>der in Rh (D)-negative Patienten lässt sich wegen des Mangels an Rh (D)-negativem Blut nicht immer vermeiden, sollte nach Möglichkeit aber nur in B</w:t>
                  </w:r>
                  <w:r w:rsidRPr="000F54CA">
                    <w:t>e</w:t>
                  </w:r>
                  <w:r w:rsidRPr="000F54CA">
                    <w:t>tracht gezogen werden, wenn es sich um Männer oder um Frauen im nicht gebär</w:t>
                  </w:r>
                  <w:r w:rsidRPr="000F54CA">
                    <w:softHyphen/>
                    <w:t>fähigen Alter handelt. In solchen Fällen ist stets eine serologische Nach</w:t>
                  </w:r>
                  <w:r w:rsidRPr="000F54CA">
                    <w:softHyphen/>
                    <w:t>unter</w:t>
                  </w:r>
                  <w:r w:rsidRPr="000F54CA">
                    <w:softHyphen/>
                    <w:t>suchung 2 bis 4 Monate nach Transfusion zur Feststellung eventuell gebildeter Anti-D-Antikörper durchzufü</w:t>
                  </w:r>
                  <w:r w:rsidRPr="000F54CA">
                    <w:t>h</w:t>
                  </w:r>
                  <w:r w:rsidRPr="000F54CA">
                    <w:t>ren.</w:t>
                  </w:r>
                </w:p>
                <w:p w:rsidR="00120D06" w:rsidRPr="000F54CA" w:rsidRDefault="00120D06" w:rsidP="00E76B63">
                  <w:pPr>
                    <w:jc w:val="both"/>
                    <w:rPr>
                      <w:dstrike/>
                    </w:rPr>
                  </w:pPr>
                  <w:r w:rsidRPr="000F54CA">
                    <w:rPr>
                      <w:u w:val="single"/>
                    </w:rPr>
                    <w:t>Schwangerschaft und Stillzeit:</w:t>
                  </w:r>
                  <w:r w:rsidRPr="000F54CA">
                    <w:t xml:space="preserve"> Bei bestimmungsgemäßem Gebrauch bestehen keine Einwände.</w:t>
                  </w:r>
                </w:p>
                <w:p w:rsidR="00120D06" w:rsidRPr="000F54CA" w:rsidRDefault="00120D06" w:rsidP="00E76B63">
                  <w:pPr>
                    <w:jc w:val="both"/>
                  </w:pPr>
                  <w:r w:rsidRPr="000F54CA">
                    <w:rPr>
                      <w:u w:val="single"/>
                    </w:rPr>
                    <w:t>Auswirkung auf Kraftfahrer und die Bedienung von Maschinen:</w:t>
                  </w:r>
                  <w:r w:rsidRPr="000F54CA">
                    <w:t xml:space="preserve"> Nach der Tran</w:t>
                  </w:r>
                  <w:r w:rsidRPr="000F54CA">
                    <w:t>s</w:t>
                  </w:r>
                  <w:r w:rsidRPr="000F54CA">
                    <w:t>fusion von Thrombozytenkonzentraten sollte eine Ruhepause von mindestens 1/2 Stunde eingehalten werden.</w:t>
                  </w:r>
                </w:p>
                <w:p w:rsidR="00120D06" w:rsidRPr="000F54CA" w:rsidRDefault="00120D06" w:rsidP="00E76B63">
                  <w:pPr>
                    <w:jc w:val="both"/>
                    <w:rPr>
                      <w:b/>
                    </w:rPr>
                  </w:pPr>
                </w:p>
              </w:tc>
            </w:tr>
            <w:tr w:rsidR="00120D06" w:rsidRPr="000F54CA" w:rsidTr="00E76B63">
              <w:tblPrEx>
                <w:tblCellMar>
                  <w:top w:w="0" w:type="dxa"/>
                  <w:bottom w:w="0" w:type="dxa"/>
                </w:tblCellMar>
              </w:tblPrEx>
              <w:tc>
                <w:tcPr>
                  <w:tcW w:w="567" w:type="dxa"/>
                </w:tcPr>
                <w:p w:rsidR="00120D06" w:rsidRPr="000F54CA" w:rsidRDefault="00120D06" w:rsidP="00E76B63">
                  <w:pPr>
                    <w:jc w:val="both"/>
                    <w:rPr>
                      <w:b/>
                    </w:rPr>
                  </w:pPr>
                </w:p>
              </w:tc>
              <w:tc>
                <w:tcPr>
                  <w:tcW w:w="8860" w:type="dxa"/>
                </w:tcPr>
                <w:p w:rsidR="00120D06" w:rsidRPr="000F54CA" w:rsidRDefault="00120D06" w:rsidP="00E76B63">
                  <w:pPr>
                    <w:numPr>
                      <w:ilvl w:val="12"/>
                      <w:numId w:val="0"/>
                    </w:numPr>
                    <w:jc w:val="both"/>
                    <w:rPr>
                      <w:b/>
                    </w:rPr>
                  </w:pPr>
                  <w:r w:rsidRPr="000F54CA">
                    <w:rPr>
                      <w:b/>
                    </w:rPr>
                    <w:t>e) Warnhinweise</w:t>
                  </w:r>
                </w:p>
                <w:p w:rsidR="00120D06" w:rsidRPr="000F54CA" w:rsidRDefault="00120D06" w:rsidP="00E76B63">
                  <w:pPr>
                    <w:jc w:val="both"/>
                  </w:pPr>
                  <w:r w:rsidRPr="000F54CA">
                    <w:t>sind nicht angeordnet.</w:t>
                  </w:r>
                </w:p>
                <w:p w:rsidR="00120D06" w:rsidRPr="000F54CA" w:rsidRDefault="00120D06" w:rsidP="00E76B63">
                  <w:pPr>
                    <w:jc w:val="both"/>
                    <w:rPr>
                      <w:b/>
                    </w:rPr>
                  </w:pPr>
                </w:p>
              </w:tc>
            </w:tr>
            <w:tr w:rsidR="00120D06" w:rsidRPr="000F54CA" w:rsidTr="00E76B63">
              <w:tblPrEx>
                <w:tblCellMar>
                  <w:top w:w="0" w:type="dxa"/>
                  <w:bottom w:w="0" w:type="dxa"/>
                </w:tblCellMar>
              </w:tblPrEx>
              <w:tc>
                <w:tcPr>
                  <w:tcW w:w="567" w:type="dxa"/>
                </w:tcPr>
                <w:p w:rsidR="00120D06" w:rsidRPr="000F54CA" w:rsidRDefault="00120D06" w:rsidP="00E76B63">
                  <w:pPr>
                    <w:jc w:val="both"/>
                    <w:rPr>
                      <w:b/>
                    </w:rPr>
                  </w:pPr>
                  <w:r w:rsidRPr="000F54CA">
                    <w:rPr>
                      <w:b/>
                    </w:rPr>
                    <w:t>4.</w:t>
                  </w:r>
                </w:p>
              </w:tc>
              <w:tc>
                <w:tcPr>
                  <w:tcW w:w="8860" w:type="dxa"/>
                </w:tcPr>
                <w:p w:rsidR="00120D06" w:rsidRPr="000F54CA" w:rsidRDefault="00120D06" w:rsidP="00E76B63">
                  <w:pPr>
                    <w:jc w:val="both"/>
                    <w:rPr>
                      <w:b/>
                    </w:rPr>
                  </w:pPr>
                  <w:r w:rsidRPr="000F54CA">
                    <w:rPr>
                      <w:b/>
                    </w:rPr>
                    <w:t>Hinweise zur ordnungsgemäßen Anwendung</w:t>
                  </w:r>
                </w:p>
                <w:p w:rsidR="00120D06" w:rsidRPr="000F54CA" w:rsidRDefault="00120D06" w:rsidP="00E76B63">
                  <w:pPr>
                    <w:jc w:val="both"/>
                    <w:rPr>
                      <w:b/>
                    </w:rPr>
                  </w:pPr>
                  <w:r w:rsidRPr="000F54CA">
                    <w:rPr>
                      <w:b/>
                    </w:rPr>
                    <w:t>a) Dosierung</w:t>
                  </w:r>
                </w:p>
                <w:p w:rsidR="00120D06" w:rsidRPr="000F54CA" w:rsidRDefault="00120D06" w:rsidP="00E76B63">
                  <w:pPr>
                    <w:numPr>
                      <w:ilvl w:val="12"/>
                      <w:numId w:val="0"/>
                    </w:numPr>
                    <w:jc w:val="both"/>
                  </w:pPr>
                  <w:r w:rsidRPr="000F54CA">
                    <w:t xml:space="preserve">Die Dosierung der Thrombozyten ist abhängig vom klinischen Zustand und der Thrombozytenzahl des Patienten. </w:t>
                  </w:r>
                </w:p>
                <w:p w:rsidR="00120D06" w:rsidRPr="000F54CA" w:rsidRDefault="00120D06" w:rsidP="00E76B63">
                  <w:pPr>
                    <w:numPr>
                      <w:ilvl w:val="12"/>
                      <w:numId w:val="0"/>
                    </w:numPr>
                    <w:jc w:val="both"/>
                  </w:pPr>
                  <w:r w:rsidRPr="000F54CA">
                    <w:t>Der Thrombozytenbedarf für die initiale Behandlung eines normalgewichtigen E</w:t>
                  </w:r>
                  <w:r w:rsidRPr="000F54CA">
                    <w:t>r</w:t>
                  </w:r>
                  <w:r w:rsidRPr="000F54CA">
                    <w:t>wachsenen ohne weitere Komplikationen beträgt mindestens 2x10</w:t>
                  </w:r>
                  <w:r w:rsidRPr="000F54CA">
                    <w:rPr>
                      <w:vertAlign w:val="superscript"/>
                    </w:rPr>
                    <w:t>11</w:t>
                  </w:r>
                  <w:r w:rsidRPr="000F54CA">
                    <w:t xml:space="preserve"> Thromboz</w:t>
                  </w:r>
                  <w:r w:rsidRPr="000F54CA">
                    <w:t>y</w:t>
                  </w:r>
                  <w:r w:rsidRPr="000F54CA">
                    <w:t>ten, entsprechend einer Standardpackung. Eine Überwachung der Therapie, z.B. durch Bestimmung der Thrombozytenzahl oder der Blutungszeit beim Patienten, ist u</w:t>
                  </w:r>
                  <w:r w:rsidRPr="000F54CA">
                    <w:t>n</w:t>
                  </w:r>
                  <w:r w:rsidRPr="000F54CA">
                    <w:t>erlässlich.</w:t>
                  </w:r>
                </w:p>
                <w:p w:rsidR="00120D06" w:rsidRPr="000F54CA" w:rsidRDefault="00120D06" w:rsidP="00E76B63">
                  <w:pPr>
                    <w:numPr>
                      <w:ilvl w:val="12"/>
                      <w:numId w:val="0"/>
                    </w:numPr>
                    <w:jc w:val="both"/>
                  </w:pPr>
                </w:p>
              </w:tc>
            </w:tr>
            <w:tr w:rsidR="00120D06" w:rsidRPr="000F54CA" w:rsidTr="00E76B63">
              <w:tblPrEx>
                <w:tblCellMar>
                  <w:top w:w="0" w:type="dxa"/>
                  <w:bottom w:w="0" w:type="dxa"/>
                </w:tblCellMar>
              </w:tblPrEx>
              <w:tc>
                <w:tcPr>
                  <w:tcW w:w="567" w:type="dxa"/>
                </w:tcPr>
                <w:p w:rsidR="00120D06" w:rsidRPr="000F54CA" w:rsidRDefault="00120D06" w:rsidP="00E76B63">
                  <w:pPr>
                    <w:jc w:val="both"/>
                    <w:rPr>
                      <w:b/>
                    </w:rPr>
                  </w:pPr>
                </w:p>
              </w:tc>
              <w:tc>
                <w:tcPr>
                  <w:tcW w:w="8860" w:type="dxa"/>
                </w:tcPr>
                <w:p w:rsidR="00120D06" w:rsidRPr="000F54CA" w:rsidRDefault="00120D06" w:rsidP="00E76B63">
                  <w:pPr>
                    <w:numPr>
                      <w:ilvl w:val="12"/>
                      <w:numId w:val="0"/>
                    </w:numPr>
                    <w:jc w:val="both"/>
                    <w:rPr>
                      <w:b/>
                    </w:rPr>
                  </w:pPr>
                  <w:r w:rsidRPr="000F54CA">
                    <w:rPr>
                      <w:b/>
                    </w:rPr>
                    <w:t>b) Art der Anwendung</w:t>
                  </w:r>
                </w:p>
                <w:p w:rsidR="00120D06" w:rsidRPr="000F54CA" w:rsidRDefault="00120D06" w:rsidP="00E76B63">
                  <w:pPr>
                    <w:numPr>
                      <w:ilvl w:val="12"/>
                      <w:numId w:val="0"/>
                    </w:numPr>
                    <w:jc w:val="both"/>
                  </w:pPr>
                  <w:r w:rsidRPr="000F54CA">
                    <w:t>zur i. v. Infusion</w:t>
                  </w:r>
                </w:p>
              </w:tc>
            </w:tr>
            <w:tr w:rsidR="00120D06" w:rsidRPr="000F54CA" w:rsidTr="00E76B63">
              <w:tblPrEx>
                <w:tblCellMar>
                  <w:top w:w="0" w:type="dxa"/>
                  <w:bottom w:w="0" w:type="dxa"/>
                </w:tblCellMar>
              </w:tblPrEx>
              <w:tc>
                <w:tcPr>
                  <w:tcW w:w="567" w:type="dxa"/>
                </w:tcPr>
                <w:p w:rsidR="00120D06" w:rsidRPr="000F54CA" w:rsidRDefault="00120D06" w:rsidP="00E76B63">
                  <w:pPr>
                    <w:jc w:val="both"/>
                    <w:rPr>
                      <w:b/>
                    </w:rPr>
                  </w:pPr>
                </w:p>
              </w:tc>
              <w:tc>
                <w:tcPr>
                  <w:tcW w:w="8860" w:type="dxa"/>
                </w:tcPr>
                <w:p w:rsidR="00120D06" w:rsidRPr="000F54CA" w:rsidRDefault="00120D06" w:rsidP="00E76B63">
                  <w:pPr>
                    <w:numPr>
                      <w:ilvl w:val="12"/>
                      <w:numId w:val="0"/>
                    </w:numPr>
                    <w:jc w:val="both"/>
                    <w:rPr>
                      <w:b/>
                    </w:rPr>
                  </w:pPr>
                  <w:r w:rsidRPr="000F54CA">
                    <w:rPr>
                      <w:b/>
                    </w:rPr>
                    <w:t>c) Häufigkeit der Verabreichung</w:t>
                  </w:r>
                </w:p>
                <w:p w:rsidR="00120D06" w:rsidRPr="000F54CA" w:rsidRDefault="00120D06" w:rsidP="00E76B63">
                  <w:pPr>
                    <w:numPr>
                      <w:ilvl w:val="12"/>
                      <w:numId w:val="0"/>
                    </w:numPr>
                    <w:jc w:val="both"/>
                  </w:pPr>
                  <w:r w:rsidRPr="000F54CA">
                    <w:t>nach Indikationsstellung</w:t>
                  </w:r>
                </w:p>
                <w:p w:rsidR="00120D06" w:rsidRPr="000F54CA" w:rsidRDefault="00120D06" w:rsidP="00E76B63">
                  <w:pPr>
                    <w:numPr>
                      <w:ilvl w:val="12"/>
                      <w:numId w:val="0"/>
                    </w:numPr>
                    <w:jc w:val="both"/>
                  </w:pPr>
                </w:p>
              </w:tc>
            </w:tr>
            <w:tr w:rsidR="00120D06" w:rsidRPr="000F54CA" w:rsidTr="00E76B63">
              <w:tblPrEx>
                <w:tblCellMar>
                  <w:top w:w="0" w:type="dxa"/>
                  <w:bottom w:w="0" w:type="dxa"/>
                </w:tblCellMar>
              </w:tblPrEx>
              <w:tc>
                <w:tcPr>
                  <w:tcW w:w="567" w:type="dxa"/>
                </w:tcPr>
                <w:p w:rsidR="00120D06" w:rsidRPr="000F54CA" w:rsidRDefault="00120D06" w:rsidP="00E76B63">
                  <w:pPr>
                    <w:jc w:val="both"/>
                    <w:rPr>
                      <w:b/>
                    </w:rPr>
                  </w:pPr>
                </w:p>
              </w:tc>
              <w:tc>
                <w:tcPr>
                  <w:tcW w:w="8860" w:type="dxa"/>
                </w:tcPr>
                <w:p w:rsidR="00120D06" w:rsidRPr="000F54CA" w:rsidRDefault="00120D06" w:rsidP="00E76B63">
                  <w:pPr>
                    <w:numPr>
                      <w:ilvl w:val="12"/>
                      <w:numId w:val="0"/>
                    </w:numPr>
                    <w:jc w:val="both"/>
                    <w:rPr>
                      <w:b/>
                    </w:rPr>
                  </w:pPr>
                  <w:r w:rsidRPr="000F54CA">
                    <w:rPr>
                      <w:b/>
                    </w:rPr>
                    <w:t>d) Dauer der Behandlung</w:t>
                  </w:r>
                </w:p>
                <w:p w:rsidR="00120D06" w:rsidRDefault="00120D06" w:rsidP="00E76B63">
                  <w:pPr>
                    <w:numPr>
                      <w:ilvl w:val="12"/>
                      <w:numId w:val="0"/>
                    </w:numPr>
                    <w:jc w:val="both"/>
                  </w:pPr>
                  <w:r w:rsidRPr="000F54CA">
                    <w:t xml:space="preserve">nach Indikationsstellung </w:t>
                  </w:r>
                </w:p>
                <w:p w:rsidR="00120D06" w:rsidRPr="00124750" w:rsidRDefault="00120D06" w:rsidP="00E76B63">
                  <w:pPr>
                    <w:pStyle w:val="StandardBlocksatz"/>
                  </w:pPr>
                </w:p>
              </w:tc>
            </w:tr>
            <w:tr w:rsidR="00120D06" w:rsidRPr="000F54CA" w:rsidTr="00E76B63">
              <w:tblPrEx>
                <w:tblCellMar>
                  <w:top w:w="0" w:type="dxa"/>
                  <w:bottom w:w="0" w:type="dxa"/>
                </w:tblCellMar>
              </w:tblPrEx>
              <w:tc>
                <w:tcPr>
                  <w:tcW w:w="567" w:type="dxa"/>
                </w:tcPr>
                <w:p w:rsidR="00120D06" w:rsidRPr="000F54CA" w:rsidRDefault="00120D06" w:rsidP="00E76B63">
                  <w:pPr>
                    <w:jc w:val="both"/>
                    <w:rPr>
                      <w:b/>
                    </w:rPr>
                  </w:pPr>
                </w:p>
              </w:tc>
              <w:tc>
                <w:tcPr>
                  <w:tcW w:w="8860" w:type="dxa"/>
                </w:tcPr>
                <w:p w:rsidR="00120D06" w:rsidRPr="000F54CA" w:rsidRDefault="00120D06" w:rsidP="00E76B63">
                  <w:pPr>
                    <w:numPr>
                      <w:ilvl w:val="12"/>
                      <w:numId w:val="0"/>
                    </w:numPr>
                    <w:jc w:val="both"/>
                    <w:rPr>
                      <w:b/>
                    </w:rPr>
                  </w:pPr>
                  <w:r w:rsidRPr="000F54CA">
                    <w:rPr>
                      <w:b/>
                    </w:rPr>
                    <w:t>e) Überdosierung</w:t>
                  </w:r>
                </w:p>
                <w:p w:rsidR="00120D06" w:rsidRPr="000F54CA" w:rsidRDefault="00120D06" w:rsidP="00E76B63">
                  <w:pPr>
                    <w:numPr>
                      <w:ilvl w:val="12"/>
                      <w:numId w:val="0"/>
                    </w:numPr>
                    <w:jc w:val="both"/>
                  </w:pPr>
                  <w:r w:rsidRPr="000F54CA">
                    <w:t>Eine Gefahr der Überdosierung besteht bei Erwachsenen nicht.</w:t>
                  </w:r>
                </w:p>
                <w:p w:rsidR="00120D06" w:rsidRPr="000F54CA" w:rsidRDefault="00120D06" w:rsidP="00E76B63">
                  <w:pPr>
                    <w:numPr>
                      <w:ilvl w:val="12"/>
                      <w:numId w:val="0"/>
                    </w:numPr>
                    <w:jc w:val="both"/>
                  </w:pPr>
                </w:p>
              </w:tc>
            </w:tr>
            <w:tr w:rsidR="00120D06" w:rsidRPr="000F54CA" w:rsidTr="00E76B63">
              <w:tblPrEx>
                <w:tblCellMar>
                  <w:top w:w="0" w:type="dxa"/>
                  <w:bottom w:w="0" w:type="dxa"/>
                </w:tblCellMar>
              </w:tblPrEx>
              <w:tc>
                <w:tcPr>
                  <w:tcW w:w="567" w:type="dxa"/>
                </w:tcPr>
                <w:p w:rsidR="00120D06" w:rsidRPr="000F54CA" w:rsidRDefault="00120D06" w:rsidP="00E76B63">
                  <w:pPr>
                    <w:jc w:val="both"/>
                    <w:rPr>
                      <w:b/>
                    </w:rPr>
                  </w:pPr>
                </w:p>
              </w:tc>
              <w:tc>
                <w:tcPr>
                  <w:tcW w:w="8860" w:type="dxa"/>
                </w:tcPr>
                <w:p w:rsidR="00120D06" w:rsidRPr="000F54CA" w:rsidRDefault="00120D06" w:rsidP="00E76B63">
                  <w:pPr>
                    <w:numPr>
                      <w:ilvl w:val="12"/>
                      <w:numId w:val="0"/>
                    </w:numPr>
                    <w:jc w:val="both"/>
                    <w:rPr>
                      <w:b/>
                    </w:rPr>
                  </w:pPr>
                  <w:r w:rsidRPr="000F54CA">
                    <w:rPr>
                      <w:b/>
                    </w:rPr>
                    <w:t>f) Notfallmaßnahmen</w:t>
                  </w:r>
                </w:p>
                <w:p w:rsidR="00120D06" w:rsidRPr="00F054F1" w:rsidRDefault="00120D06" w:rsidP="00E76B63">
                  <w:pPr>
                    <w:pStyle w:val="Textkrper"/>
                    <w:numPr>
                      <w:ilvl w:val="12"/>
                      <w:numId w:val="0"/>
                    </w:numPr>
                    <w:rPr>
                      <w:sz w:val="20"/>
                      <w:szCs w:val="20"/>
                    </w:rPr>
                  </w:pPr>
                  <w:r w:rsidRPr="00F054F1">
                    <w:rPr>
                      <w:sz w:val="20"/>
                      <w:szCs w:val="20"/>
                    </w:rPr>
                    <w:t xml:space="preserve">Treten Unverträglichkeiten auf, so ist die Transfusion unverzüglich abzubrechen, der Venenzugang jedoch offenzuhalten und eine Behandlung, der Schwere der Symptome gemäß, nach den aktuellen Regeln der Notfalltherapie einzuleiten. </w:t>
                  </w:r>
                </w:p>
                <w:p w:rsidR="00120D06" w:rsidRPr="000F54CA" w:rsidRDefault="00120D06" w:rsidP="00E76B63">
                  <w:pPr>
                    <w:jc w:val="both"/>
                    <w:rPr>
                      <w:b/>
                    </w:rPr>
                  </w:pPr>
                </w:p>
              </w:tc>
            </w:tr>
            <w:tr w:rsidR="00120D06" w:rsidRPr="000F54CA" w:rsidTr="00E76B63">
              <w:tblPrEx>
                <w:tblCellMar>
                  <w:top w:w="0" w:type="dxa"/>
                  <w:bottom w:w="0" w:type="dxa"/>
                </w:tblCellMar>
              </w:tblPrEx>
              <w:tc>
                <w:tcPr>
                  <w:tcW w:w="567" w:type="dxa"/>
                </w:tcPr>
                <w:p w:rsidR="00120D06" w:rsidRPr="000F54CA" w:rsidRDefault="00120D06" w:rsidP="00E76B63">
                  <w:pPr>
                    <w:jc w:val="both"/>
                    <w:rPr>
                      <w:b/>
                    </w:rPr>
                  </w:pPr>
                  <w:r w:rsidRPr="000F54CA">
                    <w:rPr>
                      <w:b/>
                    </w:rPr>
                    <w:t>5.</w:t>
                  </w:r>
                </w:p>
              </w:tc>
              <w:tc>
                <w:tcPr>
                  <w:tcW w:w="8860" w:type="dxa"/>
                </w:tcPr>
                <w:p w:rsidR="00120D06" w:rsidRPr="000F54CA" w:rsidRDefault="00120D06" w:rsidP="00E76B63">
                  <w:pPr>
                    <w:numPr>
                      <w:ilvl w:val="12"/>
                      <w:numId w:val="0"/>
                    </w:numPr>
                    <w:ind w:right="284"/>
                    <w:jc w:val="both"/>
                    <w:rPr>
                      <w:b/>
                    </w:rPr>
                  </w:pPr>
                  <w:r w:rsidRPr="000F54CA">
                    <w:rPr>
                      <w:b/>
                    </w:rPr>
                    <w:t>Nebenwirkungen</w:t>
                  </w:r>
                </w:p>
                <w:p w:rsidR="00120D06" w:rsidRPr="000F54CA" w:rsidRDefault="00120D06" w:rsidP="00120D06">
                  <w:pPr>
                    <w:numPr>
                      <w:ilvl w:val="0"/>
                      <w:numId w:val="1"/>
                    </w:numPr>
                    <w:tabs>
                      <w:tab w:val="left" w:pos="567"/>
                      <w:tab w:val="left" w:pos="1134"/>
                      <w:tab w:val="left" w:pos="2268"/>
                      <w:tab w:val="left" w:pos="3402"/>
                      <w:tab w:val="left" w:pos="4536"/>
                      <w:tab w:val="left" w:pos="5670"/>
                      <w:tab w:val="left" w:pos="6804"/>
                      <w:tab w:val="left" w:pos="7938"/>
                    </w:tabs>
                    <w:jc w:val="both"/>
                  </w:pPr>
                  <w:r w:rsidRPr="000F54CA">
                    <w:t>Unverträglichkeitsreaktionen (z.B. urtikarielle Hautreaktionen, posttrans</w:t>
                  </w:r>
                  <w:r w:rsidRPr="000F54CA">
                    <w:softHyphen/>
                    <w:t>fusio</w:t>
                  </w:r>
                  <w:r w:rsidRPr="000F54CA">
                    <w:softHyphen/>
                    <w:t xml:space="preserve">nelle Purpura und andere anaphylaktoide Reaktionen) </w:t>
                  </w:r>
                </w:p>
                <w:p w:rsidR="00120D06" w:rsidRPr="000F54CA" w:rsidRDefault="00120D06" w:rsidP="00120D06">
                  <w:pPr>
                    <w:numPr>
                      <w:ilvl w:val="0"/>
                      <w:numId w:val="1"/>
                    </w:numPr>
                    <w:tabs>
                      <w:tab w:val="left" w:pos="567"/>
                      <w:tab w:val="left" w:pos="1134"/>
                      <w:tab w:val="left" w:pos="2268"/>
                      <w:tab w:val="left" w:pos="3402"/>
                      <w:tab w:val="left" w:pos="4536"/>
                      <w:tab w:val="left" w:pos="5670"/>
                      <w:tab w:val="left" w:pos="6804"/>
                      <w:tab w:val="left" w:pos="7938"/>
                    </w:tabs>
                    <w:jc w:val="both"/>
                  </w:pPr>
                  <w:r w:rsidRPr="000F54CA">
                    <w:t>Transfusionsassoziierte akute Lungeninsuffizienz (TRALI)</w:t>
                  </w:r>
                </w:p>
                <w:p w:rsidR="00120D06" w:rsidRPr="000F54CA" w:rsidRDefault="00120D06" w:rsidP="00120D06">
                  <w:pPr>
                    <w:numPr>
                      <w:ilvl w:val="0"/>
                      <w:numId w:val="1"/>
                    </w:numPr>
                    <w:tabs>
                      <w:tab w:val="left" w:pos="567"/>
                      <w:tab w:val="left" w:pos="1134"/>
                      <w:tab w:val="left" w:pos="2268"/>
                      <w:tab w:val="left" w:pos="3402"/>
                      <w:tab w:val="left" w:pos="4536"/>
                      <w:tab w:val="left" w:pos="5670"/>
                      <w:tab w:val="left" w:pos="6804"/>
                      <w:tab w:val="left" w:pos="7938"/>
                    </w:tabs>
                    <w:jc w:val="both"/>
                  </w:pPr>
                  <w:r w:rsidRPr="000F54CA">
                    <w:t>anaphylaktische Reaktionen bei Empfängern mit angeborenem IgA-Mangel</w:t>
                  </w:r>
                </w:p>
                <w:p w:rsidR="00120D06" w:rsidRPr="000F54CA" w:rsidRDefault="00120D06" w:rsidP="00120D06">
                  <w:pPr>
                    <w:numPr>
                      <w:ilvl w:val="0"/>
                      <w:numId w:val="1"/>
                    </w:numPr>
                    <w:tabs>
                      <w:tab w:val="left" w:pos="567"/>
                      <w:tab w:val="left" w:pos="1134"/>
                      <w:tab w:val="left" w:pos="2268"/>
                      <w:tab w:val="left" w:pos="3402"/>
                      <w:tab w:val="left" w:pos="4536"/>
                      <w:tab w:val="left" w:pos="5670"/>
                      <w:tab w:val="left" w:pos="6804"/>
                      <w:tab w:val="left" w:pos="7938"/>
                    </w:tabs>
                    <w:jc w:val="both"/>
                  </w:pPr>
                  <w:r w:rsidRPr="000F54CA">
                    <w:t>Mikrozirkulationsstörungen durch aggregierende Thrombozyten bei massiver Transfusion</w:t>
                  </w:r>
                </w:p>
                <w:p w:rsidR="00120D06" w:rsidRPr="000F54CA" w:rsidRDefault="00120D06" w:rsidP="00120D06">
                  <w:pPr>
                    <w:numPr>
                      <w:ilvl w:val="0"/>
                      <w:numId w:val="1"/>
                    </w:numPr>
                    <w:tabs>
                      <w:tab w:val="left" w:pos="567"/>
                      <w:tab w:val="left" w:pos="1134"/>
                      <w:tab w:val="left" w:pos="2268"/>
                      <w:tab w:val="left" w:pos="3402"/>
                      <w:tab w:val="left" w:pos="4536"/>
                      <w:tab w:val="left" w:pos="5670"/>
                      <w:tab w:val="left" w:pos="6804"/>
                      <w:tab w:val="left" w:pos="7938"/>
                    </w:tabs>
                    <w:jc w:val="both"/>
                  </w:pPr>
                  <w:r w:rsidRPr="000F54CA">
                    <w:t>Immunisierung des Empfängers gegen thrombozytäre und nicht-thrombozytäre Antigene</w:t>
                  </w:r>
                </w:p>
                <w:p w:rsidR="00120D06" w:rsidRPr="000F54CA" w:rsidRDefault="00120D06" w:rsidP="00120D06">
                  <w:pPr>
                    <w:numPr>
                      <w:ilvl w:val="0"/>
                      <w:numId w:val="1"/>
                    </w:numPr>
                    <w:tabs>
                      <w:tab w:val="left" w:pos="567"/>
                      <w:tab w:val="left" w:pos="1134"/>
                      <w:tab w:val="left" w:pos="2268"/>
                      <w:tab w:val="left" w:pos="3402"/>
                      <w:tab w:val="left" w:pos="4536"/>
                      <w:tab w:val="left" w:pos="5670"/>
                      <w:tab w:val="left" w:pos="6804"/>
                      <w:tab w:val="left" w:pos="7938"/>
                    </w:tabs>
                    <w:jc w:val="both"/>
                  </w:pPr>
                  <w:r w:rsidRPr="000F54CA">
                    <w:t>Obwohl HLA-bedingte Unverträglichkeiten stark verringert sind, können febrile Transfusionsreaktionen in unmittelbarem zeitlichem Zusammenhang mit der Transfusion auftreten.</w:t>
                  </w:r>
                </w:p>
                <w:p w:rsidR="00120D06" w:rsidRPr="000F54CA" w:rsidRDefault="00120D06" w:rsidP="00120D06">
                  <w:pPr>
                    <w:numPr>
                      <w:ilvl w:val="0"/>
                      <w:numId w:val="1"/>
                    </w:numPr>
                    <w:tabs>
                      <w:tab w:val="left" w:pos="567"/>
                      <w:tab w:val="left" w:pos="1134"/>
                      <w:tab w:val="left" w:pos="2268"/>
                      <w:tab w:val="left" w:pos="3402"/>
                      <w:tab w:val="left" w:pos="4536"/>
                      <w:tab w:val="left" w:pos="5670"/>
                      <w:tab w:val="left" w:pos="6804"/>
                      <w:tab w:val="left" w:pos="7938"/>
                    </w:tabs>
                    <w:jc w:val="both"/>
                  </w:pPr>
                  <w:r w:rsidRPr="000F54CA">
                    <w:t>Bei Neugeborenen sind bei schneller Transfusion Herz-Kreislaufreaktionen i</w:t>
                  </w:r>
                  <w:r w:rsidRPr="000F54CA">
                    <w:t>n</w:t>
                  </w:r>
                  <w:r w:rsidRPr="000F54CA">
                    <w:t xml:space="preserve">folge von Citratintoxikationen möglich. </w:t>
                  </w:r>
                </w:p>
                <w:p w:rsidR="00120D06" w:rsidRPr="000F54CA" w:rsidRDefault="00120D06" w:rsidP="00120D06">
                  <w:pPr>
                    <w:numPr>
                      <w:ilvl w:val="0"/>
                      <w:numId w:val="1"/>
                    </w:numPr>
                    <w:tabs>
                      <w:tab w:val="left" w:pos="567"/>
                      <w:tab w:val="left" w:pos="1134"/>
                      <w:tab w:val="left" w:pos="2268"/>
                      <w:tab w:val="left" w:pos="3402"/>
                      <w:tab w:val="left" w:pos="4536"/>
                      <w:tab w:val="left" w:pos="5670"/>
                      <w:tab w:val="left" w:pos="6804"/>
                      <w:tab w:val="left" w:pos="7938"/>
                    </w:tabs>
                    <w:jc w:val="both"/>
                  </w:pPr>
                  <w:r w:rsidRPr="000F54CA">
                    <w:t>Das Risiko einer bakteriellen Kontamination lässt sich nicht mit letzter Siche</w:t>
                  </w:r>
                  <w:r w:rsidRPr="000F54CA">
                    <w:t>r</w:t>
                  </w:r>
                  <w:r w:rsidRPr="000F54CA">
                    <w:t>heit au</w:t>
                  </w:r>
                  <w:r w:rsidRPr="000F54CA">
                    <w:t>s</w:t>
                  </w:r>
                  <w:r w:rsidRPr="000F54CA">
                    <w:t>schließen.</w:t>
                  </w:r>
                </w:p>
                <w:p w:rsidR="00120D06" w:rsidRPr="000F54CA" w:rsidRDefault="00120D06" w:rsidP="00120D06">
                  <w:pPr>
                    <w:numPr>
                      <w:ilvl w:val="0"/>
                      <w:numId w:val="1"/>
                    </w:numPr>
                    <w:tabs>
                      <w:tab w:val="left" w:pos="567"/>
                      <w:tab w:val="left" w:pos="1134"/>
                      <w:tab w:val="left" w:pos="2268"/>
                      <w:tab w:val="left" w:pos="3402"/>
                      <w:tab w:val="left" w:pos="4536"/>
                      <w:tab w:val="left" w:pos="5670"/>
                      <w:tab w:val="left" w:pos="6804"/>
                      <w:tab w:val="left" w:pos="7938"/>
                    </w:tabs>
                    <w:jc w:val="both"/>
                  </w:pPr>
                  <w:r w:rsidRPr="000F54CA">
                    <w:t>Bei der Anwendung von aus menschlichem Blut hergestellten Arzneimitteln ist die Übertragung von Infektionskrankheiten durch Übertragung von Erregern - auch bislang unbekannter Natur - nicht völlig auszuschließen. Dies gilt z.B. für Hepatit</w:t>
                  </w:r>
                  <w:r w:rsidRPr="000F54CA">
                    <w:t>i</w:t>
                  </w:r>
                  <w:r w:rsidRPr="000F54CA">
                    <w:t>den, seltener für das erworbene Immundefektsyndrom (AIDS).</w:t>
                  </w:r>
                </w:p>
                <w:p w:rsidR="00120D06" w:rsidRDefault="00120D06" w:rsidP="00120D06">
                  <w:pPr>
                    <w:numPr>
                      <w:ilvl w:val="0"/>
                      <w:numId w:val="1"/>
                    </w:numPr>
                    <w:tabs>
                      <w:tab w:val="left" w:pos="567"/>
                      <w:tab w:val="left" w:pos="1134"/>
                      <w:tab w:val="left" w:pos="2268"/>
                      <w:tab w:val="left" w:pos="3402"/>
                      <w:tab w:val="left" w:pos="4536"/>
                      <w:tab w:val="left" w:pos="5670"/>
                      <w:tab w:val="left" w:pos="6804"/>
                      <w:tab w:val="left" w:pos="7938"/>
                    </w:tabs>
                    <w:jc w:val="both"/>
                    <w:rPr>
                      <w:szCs w:val="24"/>
                    </w:rPr>
                  </w:pPr>
                  <w:r w:rsidRPr="000F54CA">
                    <w:rPr>
                      <w:szCs w:val="24"/>
                    </w:rPr>
                    <w:t>Im Vereinigten Königreich Großbritannien und Nordirland wurde über Einzelfä</w:t>
                  </w:r>
                  <w:r w:rsidRPr="000F54CA">
                    <w:rPr>
                      <w:szCs w:val="24"/>
                    </w:rPr>
                    <w:t>l</w:t>
                  </w:r>
                  <w:r w:rsidRPr="000F54CA">
                    <w:rPr>
                      <w:szCs w:val="24"/>
                    </w:rPr>
                    <w:t>le berichtet, in denen bei Empfängern von Transfusionen, deren Spender sp</w:t>
                  </w:r>
                  <w:r w:rsidRPr="000F54CA">
                    <w:rPr>
                      <w:szCs w:val="24"/>
                    </w:rPr>
                    <w:t>ä</w:t>
                  </w:r>
                  <w:r w:rsidRPr="000F54CA">
                    <w:rPr>
                      <w:szCs w:val="24"/>
                    </w:rPr>
                    <w:t>ter an der varianten Creutzfeldt-Jakob Krankheit (vCJK) erkrankten, ebenfalls der „Erreger“ (so genannte Prionen) nachgewiesen wurde. Bei der vCJK ha</w:t>
                  </w:r>
                  <w:r w:rsidRPr="000F54CA">
                    <w:rPr>
                      <w:szCs w:val="24"/>
                    </w:rPr>
                    <w:t>n</w:t>
                  </w:r>
                  <w:r w:rsidRPr="000F54CA">
                    <w:rPr>
                      <w:szCs w:val="24"/>
                    </w:rPr>
                    <w:t>delt es sich um eine in Deutschland bislang nicht beobachtete Erkrankung, die durch den Verzehr von bestimmten Nahrungsmitteln aus BSE-kranken Rindern erwo</w:t>
                  </w:r>
                  <w:r w:rsidRPr="000F54CA">
                    <w:rPr>
                      <w:szCs w:val="24"/>
                    </w:rPr>
                    <w:t>r</w:t>
                  </w:r>
                  <w:r w:rsidRPr="000F54CA">
                    <w:rPr>
                      <w:szCs w:val="24"/>
                    </w:rPr>
                    <w:t>ben werden kann.</w:t>
                  </w:r>
                </w:p>
                <w:p w:rsidR="00120D06" w:rsidRDefault="00120D06" w:rsidP="00E76B63">
                  <w:pPr>
                    <w:pStyle w:val="StandardBlocksatz"/>
                  </w:pPr>
                </w:p>
                <w:p w:rsidR="00120D06" w:rsidRPr="001D0199" w:rsidRDefault="00120D06" w:rsidP="00E76B63">
                  <w:pPr>
                    <w:ind w:left="283"/>
                    <w:jc w:val="both"/>
                    <w:rPr>
                      <w:u w:val="single"/>
                    </w:rPr>
                  </w:pPr>
                  <w:r w:rsidRPr="001D0199">
                    <w:rPr>
                      <w:u w:val="single"/>
                    </w:rPr>
                    <w:t>Meldung des Verdachts auf Nebenwirkungen</w:t>
                  </w:r>
                </w:p>
                <w:p w:rsidR="00120D06" w:rsidRPr="001D0199" w:rsidRDefault="00120D06" w:rsidP="00E76B63">
                  <w:pPr>
                    <w:ind w:left="283"/>
                    <w:jc w:val="both"/>
                    <w:rPr>
                      <w:color w:val="00B0F0"/>
                    </w:rPr>
                  </w:pPr>
                </w:p>
                <w:p w:rsidR="00120D06" w:rsidRPr="001D0199" w:rsidRDefault="00120D06" w:rsidP="00E76B63">
                  <w:pPr>
                    <w:ind w:left="283"/>
                    <w:jc w:val="both"/>
                  </w:pPr>
                  <w:r w:rsidRPr="001D0199">
                    <w:t>Die Meldung des Verdachts auf Nebenwirkungen nach der Zulassung ist von gr</w:t>
                  </w:r>
                  <w:r w:rsidRPr="001D0199">
                    <w:t>o</w:t>
                  </w:r>
                  <w:r w:rsidRPr="001D0199">
                    <w:t>ßer Wichtigkeit. Sie ermöglicht eine kontinuierliche Überwachung des Nutzen-Risiko-Verhältnisses des Arzneimittels. Angehörige von Gesundheitsberufen sind aufgefo</w:t>
                  </w:r>
                  <w:r w:rsidRPr="001D0199">
                    <w:t>r</w:t>
                  </w:r>
                  <w:r w:rsidRPr="001D0199">
                    <w:t>dert, jeden Verdachtsfall einer Nebenwirkung dem Bundesinstitut für Impfstoffe und biomedizinische Arzneimittel, Paul-Ehrlich-Institut, Paul-Ehrlich-Straße 51 – 59, 63225 Langen, Telefon +49 6 10 37 70, Telefax: +49 61 03 77 12 34, Webs</w:t>
                  </w:r>
                  <w:r w:rsidRPr="001D0199">
                    <w:t>i</w:t>
                  </w:r>
                  <w:r w:rsidRPr="001D0199">
                    <w:t>te: www.pei.de anzuzeigen.</w:t>
                  </w:r>
                </w:p>
                <w:p w:rsidR="00120D06" w:rsidRPr="001D0199" w:rsidRDefault="00120D06" w:rsidP="00E76B63">
                  <w:pPr>
                    <w:ind w:left="283"/>
                    <w:jc w:val="both"/>
                    <w:rPr>
                      <w:color w:val="00B0F0"/>
                    </w:rPr>
                  </w:pPr>
                </w:p>
                <w:p w:rsidR="00120D06" w:rsidRPr="001D0199" w:rsidRDefault="00120D06" w:rsidP="00E76B63">
                  <w:pPr>
                    <w:ind w:left="283"/>
                    <w:jc w:val="both"/>
                  </w:pPr>
                  <w:r w:rsidRPr="001D0199">
                    <w:t>Patienten sind darüber zu informieren, dass sie sich an Ihren Arzt oder das medizin</w:t>
                  </w:r>
                  <w:r w:rsidRPr="001D0199">
                    <w:t>i</w:t>
                  </w:r>
                  <w:r w:rsidRPr="001D0199">
                    <w:t>sche Fachpersonal wenden sollen, wenn sie Nebenwirkungen bemerken. Dies gilt auch für Nebenwirkungen, die nicht in dieser Gebrauchsinformation und Fachinfo</w:t>
                  </w:r>
                  <w:r w:rsidRPr="001D0199">
                    <w:t>r</w:t>
                  </w:r>
                  <w:r w:rsidRPr="001D0199">
                    <w:t>mation angegeben sind. Patienten können Nebenwirkungen auch direkt dem Paul-Ehrlich-Institut anzeigen. Indem Patienten Nebenwirkungen melden, können sie dazu beitragen, dass mehr Informationen über die Sicherheit dieses Arzneimittels zur Ve</w:t>
                  </w:r>
                  <w:r w:rsidRPr="001D0199">
                    <w:t>r</w:t>
                  </w:r>
                  <w:r w:rsidRPr="001D0199">
                    <w:t>fügung gestellt werden.</w:t>
                  </w:r>
                </w:p>
                <w:p w:rsidR="00120D06" w:rsidRPr="002524CA" w:rsidRDefault="00120D06" w:rsidP="00E76B63">
                  <w:pPr>
                    <w:pStyle w:val="StandardBlocksatz"/>
                  </w:pPr>
                </w:p>
                <w:p w:rsidR="00120D06" w:rsidRPr="000F54CA" w:rsidRDefault="00120D06" w:rsidP="00E76B63">
                  <w:pPr>
                    <w:jc w:val="both"/>
                  </w:pPr>
                </w:p>
              </w:tc>
            </w:tr>
            <w:tr w:rsidR="00120D06" w:rsidRPr="000F54CA" w:rsidTr="00E76B63">
              <w:tblPrEx>
                <w:tblCellMar>
                  <w:top w:w="0" w:type="dxa"/>
                  <w:bottom w:w="0" w:type="dxa"/>
                </w:tblCellMar>
              </w:tblPrEx>
              <w:tc>
                <w:tcPr>
                  <w:tcW w:w="567" w:type="dxa"/>
                </w:tcPr>
                <w:p w:rsidR="00120D06" w:rsidRPr="000F54CA" w:rsidRDefault="00120D06" w:rsidP="00E76B63">
                  <w:pPr>
                    <w:jc w:val="both"/>
                    <w:rPr>
                      <w:b/>
                    </w:rPr>
                  </w:pPr>
                  <w:r w:rsidRPr="000F54CA">
                    <w:rPr>
                      <w:b/>
                    </w:rPr>
                    <w:t xml:space="preserve">6. </w:t>
                  </w:r>
                </w:p>
              </w:tc>
              <w:tc>
                <w:tcPr>
                  <w:tcW w:w="8860" w:type="dxa"/>
                </w:tcPr>
                <w:p w:rsidR="00120D06" w:rsidRPr="000F54CA" w:rsidRDefault="00120D06" w:rsidP="00E76B63">
                  <w:pPr>
                    <w:jc w:val="both"/>
                  </w:pPr>
                  <w:r w:rsidRPr="000F54CA">
                    <w:rPr>
                      <w:b/>
                    </w:rPr>
                    <w:t>Pharmakologische Eigenschaften</w:t>
                  </w:r>
                  <w:r w:rsidRPr="000F54CA">
                    <w:t xml:space="preserve"> </w:t>
                  </w:r>
                </w:p>
                <w:p w:rsidR="00120D06" w:rsidRPr="000F54CA" w:rsidRDefault="00120D06" w:rsidP="00E76B63">
                  <w:pPr>
                    <w:jc w:val="both"/>
                  </w:pPr>
                  <w:r w:rsidRPr="000F54CA">
                    <w:t xml:space="preserve">Die wirksamen Bestandteile von Thrombozytenkonzentraten sind morphologisch und funktionell intakte Thrombozyten, welche die zellulären Bestandteile des Hämostasesystems darstellen. Die Hämostaseaktivität der funktionell intakten Thrombozyten ist sofort nach der Transfusion gegeben. Die Funktionsfähigkeit und mittlere Überlebenszeit der Thrombozyten nimmt mit der Lagerungsdauer ab. Durch die Leukozytendepletion auf &lt; </w:t>
                  </w:r>
                  <w:smartTag w:uri="urn:schemas-microsoft-com:office:smarttags" w:element="date">
                    <w:smartTagPr>
                      <w:attr w:name="ls" w:val="trans"/>
                      <w:attr w:name="Month" w:val="10"/>
                      <w:attr w:name="Day" w:val="1"/>
                      <w:attr w:name="Year" w:val="10"/>
                    </w:smartTagPr>
                    <w:r w:rsidRPr="000F54CA">
                      <w:t>1 x 10</w:t>
                    </w:r>
                  </w:smartTag>
                  <w:r w:rsidRPr="000F54CA">
                    <w:rPr>
                      <w:vertAlign w:val="superscript"/>
                    </w:rPr>
                    <w:t>6</w:t>
                  </w:r>
                  <w:r w:rsidRPr="000F54CA">
                    <w:t xml:space="preserve"> Leukozyten pro Standardpackung wird das Risiko einer Immunisierung gegen humane leukozytäre Alloantigene (HLA) und durch die Bestrahlung mit mindestens 25 Gy die Übertragung mitos</w:t>
                  </w:r>
                  <w:r w:rsidRPr="000F54CA">
                    <w:t>e</w:t>
                  </w:r>
                  <w:r w:rsidRPr="000F54CA">
                    <w:t xml:space="preserve">fähiger </w:t>
                  </w:r>
                  <w:r w:rsidRPr="000F54CA">
                    <w:lastRenderedPageBreak/>
                    <w:t>immunkompetenter Lymphozyten stark vermindert, somit die Gefahr einer transfusionsassozierten Graft-versus-Host-Reaktion vermieden. Das Thromboz</w:t>
                  </w:r>
                  <w:r w:rsidRPr="000F54CA">
                    <w:t>y</w:t>
                  </w:r>
                  <w:r w:rsidRPr="000F54CA">
                    <w:t>tenkonzentrat enthält weder körpereigene Substanzen in unphysiologischer Ko</w:t>
                  </w:r>
                  <w:r w:rsidRPr="000F54CA">
                    <w:t>n</w:t>
                  </w:r>
                  <w:r w:rsidRPr="000F54CA">
                    <w:t>zentration noch körperfremde Stoffe.</w:t>
                  </w:r>
                </w:p>
                <w:p w:rsidR="00120D06" w:rsidRPr="000F54CA" w:rsidRDefault="00120D06" w:rsidP="00E76B63">
                  <w:pPr>
                    <w:jc w:val="both"/>
                    <w:rPr>
                      <w:b/>
                    </w:rPr>
                  </w:pPr>
                </w:p>
              </w:tc>
            </w:tr>
            <w:tr w:rsidR="00120D06" w:rsidRPr="000F54CA" w:rsidTr="00E76B63">
              <w:tblPrEx>
                <w:tblCellMar>
                  <w:top w:w="0" w:type="dxa"/>
                  <w:bottom w:w="0" w:type="dxa"/>
                </w:tblCellMar>
              </w:tblPrEx>
              <w:tc>
                <w:tcPr>
                  <w:tcW w:w="567" w:type="dxa"/>
                </w:tcPr>
                <w:p w:rsidR="00120D06" w:rsidRPr="000F54CA" w:rsidRDefault="00120D06" w:rsidP="00E76B63">
                  <w:pPr>
                    <w:jc w:val="both"/>
                    <w:rPr>
                      <w:b/>
                    </w:rPr>
                  </w:pPr>
                  <w:r w:rsidRPr="000F54CA">
                    <w:rPr>
                      <w:b/>
                    </w:rPr>
                    <w:lastRenderedPageBreak/>
                    <w:t>7.</w:t>
                  </w:r>
                </w:p>
              </w:tc>
              <w:tc>
                <w:tcPr>
                  <w:tcW w:w="8860" w:type="dxa"/>
                </w:tcPr>
                <w:p w:rsidR="00120D06" w:rsidRPr="000F54CA" w:rsidRDefault="00120D06" w:rsidP="00E76B63">
                  <w:pPr>
                    <w:jc w:val="both"/>
                    <w:rPr>
                      <w:b/>
                    </w:rPr>
                  </w:pPr>
                  <w:r w:rsidRPr="000F54CA">
                    <w:rPr>
                      <w:b/>
                    </w:rPr>
                    <w:t>Weitere Hinweise</w:t>
                  </w:r>
                </w:p>
                <w:p w:rsidR="00120D06" w:rsidRPr="000F54CA" w:rsidRDefault="00120D06" w:rsidP="00E76B63">
                  <w:pPr>
                    <w:jc w:val="both"/>
                    <w:rPr>
                      <w:b/>
                    </w:rPr>
                  </w:pPr>
                  <w:r w:rsidRPr="000F54CA">
                    <w:rPr>
                      <w:b/>
                    </w:rPr>
                    <w:t>a) Angaben zur Aufbewahrung und Haltbarkeit</w:t>
                  </w:r>
                </w:p>
                <w:p w:rsidR="00120D06" w:rsidRPr="000F54CA" w:rsidRDefault="00120D06" w:rsidP="00E76B63">
                  <w:pPr>
                    <w:numPr>
                      <w:ilvl w:val="12"/>
                      <w:numId w:val="0"/>
                    </w:numPr>
                    <w:ind w:right="284"/>
                    <w:jc w:val="both"/>
                  </w:pPr>
                  <w:r w:rsidRPr="000F54CA">
                    <w:rPr>
                      <w:b/>
                    </w:rPr>
                    <w:t>Angaben zur Haltbarkeit, besondere Lager- und Aufbewahrungshinweise</w:t>
                  </w:r>
                  <w:r w:rsidRPr="000F54CA">
                    <w:t xml:space="preserve"> </w:t>
                  </w:r>
                </w:p>
                <w:p w:rsidR="00120D06" w:rsidRPr="000F54CA" w:rsidRDefault="00120D06" w:rsidP="00120D06">
                  <w:pPr>
                    <w:numPr>
                      <w:ilvl w:val="0"/>
                      <w:numId w:val="1"/>
                    </w:numPr>
                    <w:tabs>
                      <w:tab w:val="left" w:pos="567"/>
                      <w:tab w:val="left" w:pos="1134"/>
                      <w:tab w:val="left" w:pos="2268"/>
                      <w:tab w:val="left" w:pos="3402"/>
                      <w:tab w:val="left" w:pos="4536"/>
                      <w:tab w:val="left" w:pos="5670"/>
                      <w:tab w:val="left" w:pos="6804"/>
                      <w:tab w:val="left" w:pos="7938"/>
                    </w:tabs>
                    <w:jc w:val="both"/>
                    <w:rPr>
                      <w:b/>
                    </w:rPr>
                  </w:pPr>
                  <w:r w:rsidRPr="000F54CA">
                    <w:t>Das Thrombozytenkonzentrat „</w:t>
                  </w:r>
                  <w:r>
                    <w:t>TKSF PAS (UKE) bestrahlt</w:t>
                  </w:r>
                  <w:r w:rsidRPr="000F54CA">
                    <w:t xml:space="preserve">“ ist </w:t>
                  </w:r>
                  <w:r>
                    <w:t>4</w:t>
                  </w:r>
                  <w:r w:rsidRPr="000F54CA">
                    <w:t xml:space="preserve"> Tage </w:t>
                  </w:r>
                  <w:r>
                    <w:rPr>
                      <w:iCs/>
                    </w:rPr>
                    <w:t>(</w:t>
                  </w:r>
                  <w:r w:rsidRPr="00936246">
                    <w:rPr>
                      <w:iCs/>
                    </w:rPr>
                    <w:t>zzgl. Entnahmetag)</w:t>
                  </w:r>
                  <w:r w:rsidRPr="00936246">
                    <w:t xml:space="preserve"> </w:t>
                  </w:r>
                  <w:r w:rsidRPr="000F54CA">
                    <w:t>bis zu dem auf dem Etikett angegebenen Verfalld</w:t>
                  </w:r>
                  <w:r w:rsidRPr="000F54CA">
                    <w:t>a</w:t>
                  </w:r>
                  <w:r w:rsidRPr="000F54CA">
                    <w:t xml:space="preserve">tum bei 22 </w:t>
                  </w:r>
                  <w:r w:rsidRPr="000F54CA">
                    <w:rPr>
                      <w:u w:val="single"/>
                    </w:rPr>
                    <w:t xml:space="preserve">+ </w:t>
                  </w:r>
                  <w:r w:rsidRPr="000F54CA">
                    <w:t>2 °C unter gleichmäßiger Agitation haltbar. Nach Ablauf des Ve</w:t>
                  </w:r>
                  <w:r w:rsidRPr="000F54CA">
                    <w:t>r</w:t>
                  </w:r>
                  <w:r w:rsidRPr="000F54CA">
                    <w:t>falldatums darf das Thrombozytenkonzentrat nicht mehr verwendet werden.</w:t>
                  </w:r>
                </w:p>
                <w:p w:rsidR="00120D06" w:rsidRPr="000F54CA" w:rsidRDefault="00120D06" w:rsidP="00120D06">
                  <w:pPr>
                    <w:numPr>
                      <w:ilvl w:val="0"/>
                      <w:numId w:val="1"/>
                    </w:numPr>
                    <w:tabs>
                      <w:tab w:val="left" w:pos="567"/>
                      <w:tab w:val="left" w:pos="1134"/>
                      <w:tab w:val="left" w:pos="2268"/>
                      <w:tab w:val="left" w:pos="3402"/>
                      <w:tab w:val="left" w:pos="4536"/>
                      <w:tab w:val="left" w:pos="5670"/>
                      <w:tab w:val="left" w:pos="6804"/>
                      <w:tab w:val="left" w:pos="7938"/>
                    </w:tabs>
                    <w:jc w:val="both"/>
                    <w:rPr>
                      <w:b/>
                    </w:rPr>
                  </w:pPr>
                  <w:r w:rsidRPr="000F54CA">
                    <w:t>Nach Unterbrechung der o.g. Lagerbedingungen ist das Thrombozytenkon</w:t>
                  </w:r>
                  <w:r w:rsidRPr="000F54CA">
                    <w:softHyphen/>
                    <w:t>zen</w:t>
                  </w:r>
                  <w:r w:rsidRPr="000F54CA">
                    <w:softHyphen/>
                    <w:t>trat unverzüglich zu transfundieren. Bei Zwischenlagerung ohne Möglichkeit der Agitation sollte auf ausreichenden Gasaustausch geachtet werden (Lag</w:t>
                  </w:r>
                  <w:r w:rsidRPr="000F54CA">
                    <w:t>e</w:t>
                  </w:r>
                  <w:r w:rsidRPr="000F54CA">
                    <w:t>rung auf e</w:t>
                  </w:r>
                  <w:r w:rsidRPr="000F54CA">
                    <w:t>i</w:t>
                  </w:r>
                  <w:r w:rsidRPr="000F54CA">
                    <w:t>nem Gitterrost oder zumindest mit dem Etikett nach unten).</w:t>
                  </w:r>
                </w:p>
                <w:p w:rsidR="00120D06" w:rsidRPr="000F54CA" w:rsidRDefault="00120D06" w:rsidP="00120D06">
                  <w:pPr>
                    <w:numPr>
                      <w:ilvl w:val="0"/>
                      <w:numId w:val="1"/>
                    </w:numPr>
                    <w:tabs>
                      <w:tab w:val="left" w:pos="567"/>
                      <w:tab w:val="left" w:pos="1134"/>
                      <w:tab w:val="left" w:pos="2268"/>
                      <w:tab w:val="left" w:pos="3402"/>
                      <w:tab w:val="left" w:pos="4536"/>
                      <w:tab w:val="left" w:pos="5670"/>
                      <w:tab w:val="left" w:pos="6804"/>
                      <w:tab w:val="left" w:pos="7938"/>
                    </w:tabs>
                    <w:jc w:val="both"/>
                    <w:rPr>
                      <w:b/>
                    </w:rPr>
                  </w:pPr>
                  <w:r w:rsidRPr="000F54CA">
                    <w:t>Eine durch das Transfusionsbesteck geöffnete Konserve mu</w:t>
                  </w:r>
                  <w:r>
                    <w:t>ss</w:t>
                  </w:r>
                  <w:r w:rsidRPr="000F54CA">
                    <w:t xml:space="preserve"> unverzüglich verbraucht werden.</w:t>
                  </w:r>
                </w:p>
                <w:p w:rsidR="00120D06" w:rsidRPr="000F54CA" w:rsidRDefault="00120D06" w:rsidP="00E76B63">
                  <w:pPr>
                    <w:jc w:val="both"/>
                  </w:pPr>
                </w:p>
              </w:tc>
            </w:tr>
            <w:tr w:rsidR="00120D06" w:rsidRPr="000F54CA" w:rsidTr="00E76B63">
              <w:tblPrEx>
                <w:tblCellMar>
                  <w:top w:w="0" w:type="dxa"/>
                  <w:bottom w:w="0" w:type="dxa"/>
                </w:tblCellMar>
              </w:tblPrEx>
              <w:tc>
                <w:tcPr>
                  <w:tcW w:w="567" w:type="dxa"/>
                </w:tcPr>
                <w:p w:rsidR="00120D06" w:rsidRPr="000F54CA" w:rsidRDefault="00120D06" w:rsidP="00E76B63">
                  <w:pPr>
                    <w:jc w:val="both"/>
                    <w:rPr>
                      <w:b/>
                    </w:rPr>
                  </w:pPr>
                </w:p>
              </w:tc>
              <w:tc>
                <w:tcPr>
                  <w:tcW w:w="8860" w:type="dxa"/>
                </w:tcPr>
                <w:p w:rsidR="00120D06" w:rsidRDefault="00120D06" w:rsidP="00E76B63">
                  <w:pPr>
                    <w:jc w:val="both"/>
                    <w:rPr>
                      <w:b/>
                    </w:rPr>
                  </w:pPr>
                </w:p>
                <w:p w:rsidR="00120D06" w:rsidRPr="000F54CA" w:rsidRDefault="00120D06" w:rsidP="00E76B63">
                  <w:pPr>
                    <w:jc w:val="both"/>
                    <w:rPr>
                      <w:b/>
                    </w:rPr>
                  </w:pPr>
                  <w:r w:rsidRPr="000F54CA">
                    <w:rPr>
                      <w:b/>
                    </w:rPr>
                    <w:t>b) Optische Prüfung</w:t>
                  </w:r>
                </w:p>
                <w:p w:rsidR="00120D06" w:rsidRPr="000F54CA" w:rsidRDefault="00120D06" w:rsidP="00E76B63">
                  <w:pPr>
                    <w:jc w:val="both"/>
                  </w:pPr>
                  <w:r w:rsidRPr="000F54CA">
                    <w:t>Unmittelbar vor der Transfusion muß jedes Thrombozytenkonzentrat einer op</w:t>
                  </w:r>
                  <w:r w:rsidRPr="000F54CA">
                    <w:softHyphen/>
                    <w:t>tischen Quali</w:t>
                  </w:r>
                  <w:r w:rsidRPr="000F54CA">
                    <w:softHyphen/>
                    <w:t>täts</w:t>
                  </w:r>
                  <w:r w:rsidRPr="000F54CA">
                    <w:softHyphen/>
                    <w:t>prüfung unterzogen werden, auffällige Thrombozyten</w:t>
                  </w:r>
                  <w:r w:rsidRPr="000F54CA">
                    <w:softHyphen/>
                    <w:t>konzen</w:t>
                  </w:r>
                  <w:r w:rsidRPr="000F54CA">
                    <w:softHyphen/>
                    <w:t>trate (z.B. fehlendes "Swirling-Phänomen" bzw. Wolkenbildung bei leichtem Schwe</w:t>
                  </w:r>
                  <w:r w:rsidRPr="000F54CA">
                    <w:t>n</w:t>
                  </w:r>
                  <w:r w:rsidRPr="000F54CA">
                    <w:t>ken, erkennbare Aggregatbildung) dürfen nicht verwendet werden.</w:t>
                  </w:r>
                </w:p>
                <w:p w:rsidR="00120D06" w:rsidRPr="000F54CA" w:rsidRDefault="00120D06" w:rsidP="00E76B63">
                  <w:pPr>
                    <w:jc w:val="both"/>
                    <w:rPr>
                      <w:b/>
                    </w:rPr>
                  </w:pPr>
                </w:p>
              </w:tc>
            </w:tr>
            <w:tr w:rsidR="00120D06" w:rsidRPr="000F54CA" w:rsidTr="00E76B63">
              <w:tblPrEx>
                <w:tblCellMar>
                  <w:top w:w="0" w:type="dxa"/>
                  <w:bottom w:w="0" w:type="dxa"/>
                </w:tblCellMar>
              </w:tblPrEx>
              <w:tc>
                <w:tcPr>
                  <w:tcW w:w="567" w:type="dxa"/>
                </w:tcPr>
                <w:p w:rsidR="00120D06" w:rsidRPr="000F54CA" w:rsidRDefault="00120D06" w:rsidP="00E76B63">
                  <w:pPr>
                    <w:jc w:val="both"/>
                    <w:rPr>
                      <w:b/>
                    </w:rPr>
                  </w:pPr>
                </w:p>
              </w:tc>
              <w:tc>
                <w:tcPr>
                  <w:tcW w:w="8860" w:type="dxa"/>
                </w:tcPr>
                <w:p w:rsidR="00120D06" w:rsidRPr="000F54CA" w:rsidRDefault="00120D06" w:rsidP="00E76B63">
                  <w:pPr>
                    <w:numPr>
                      <w:ilvl w:val="12"/>
                      <w:numId w:val="0"/>
                    </w:numPr>
                    <w:jc w:val="both"/>
                    <w:rPr>
                      <w:b/>
                    </w:rPr>
                  </w:pPr>
                  <w:r w:rsidRPr="000F54CA">
                    <w:rPr>
                      <w:b/>
                    </w:rPr>
                    <w:t>c) Zusammensetzung des Fertigarzneimittels</w:t>
                  </w:r>
                </w:p>
                <w:p w:rsidR="00120D06" w:rsidRPr="000F54CA" w:rsidRDefault="00120D06" w:rsidP="00E76B63">
                  <w:pPr>
                    <w:jc w:val="both"/>
                    <w:rPr>
                      <w:b/>
                      <w:sz w:val="22"/>
                    </w:rPr>
                  </w:pPr>
                </w:p>
                <w:p w:rsidR="00120D06" w:rsidRPr="000F54CA" w:rsidRDefault="00120D06" w:rsidP="00E76B63">
                  <w:pPr>
                    <w:jc w:val="both"/>
                    <w:rPr>
                      <w:b/>
                      <w:sz w:val="22"/>
                    </w:rPr>
                  </w:pPr>
                  <w:r w:rsidRPr="000F54CA">
                    <w:rPr>
                      <w:b/>
                      <w:sz w:val="22"/>
                    </w:rPr>
                    <w:t>Wirkstoffe (nach Art und Menge):</w:t>
                  </w:r>
                </w:p>
                <w:p w:rsidR="00120D06" w:rsidRPr="000F54CA" w:rsidRDefault="00120D06" w:rsidP="00E76B63">
                  <w:r w:rsidRPr="000F54CA">
                    <w:t xml:space="preserve">Human-Thrombozyten gepoolt aus </w:t>
                  </w:r>
                  <w:r>
                    <w:t>5</w:t>
                  </w:r>
                  <w:r w:rsidRPr="000F54CA">
                    <w:t xml:space="preserve"> Vollblutspenden </w:t>
                  </w:r>
                </w:p>
                <w:p w:rsidR="00120D06" w:rsidRPr="000F54CA" w:rsidRDefault="00120D06" w:rsidP="00E76B63">
                  <w:pPr>
                    <w:pStyle w:val="Fuzeile"/>
                    <w:tabs>
                      <w:tab w:val="clear" w:pos="9072"/>
                      <w:tab w:val="left" w:pos="567"/>
                      <w:tab w:val="left" w:pos="1134"/>
                      <w:tab w:val="left" w:pos="2268"/>
                      <w:tab w:val="left" w:pos="3402"/>
                      <w:tab w:val="left" w:pos="4536"/>
                      <w:tab w:val="left" w:pos="5670"/>
                      <w:tab w:val="left" w:pos="6804"/>
                      <w:tab w:val="left" w:pos="7938"/>
                    </w:tabs>
                  </w:pPr>
                  <w:r>
                    <w:t>2,0</w:t>
                  </w:r>
                  <w:r w:rsidRPr="000F54CA">
                    <w:t xml:space="preserve"> x 10</w:t>
                  </w:r>
                  <w:r w:rsidRPr="000F54CA">
                    <w:rPr>
                      <w:szCs w:val="24"/>
                      <w:vertAlign w:val="superscript"/>
                    </w:rPr>
                    <w:t>11</w:t>
                  </w:r>
                  <w:r w:rsidRPr="000F54CA">
                    <w:t xml:space="preserve"> bis </w:t>
                  </w:r>
                  <w:r>
                    <w:t xml:space="preserve">4,5 x </w:t>
                  </w:r>
                  <w:r w:rsidRPr="000F54CA">
                    <w:t>10</w:t>
                  </w:r>
                  <w:r w:rsidRPr="000F54CA">
                    <w:rPr>
                      <w:szCs w:val="24"/>
                      <w:vertAlign w:val="superscript"/>
                    </w:rPr>
                    <w:t>11</w:t>
                  </w:r>
                  <w:r w:rsidRPr="000F54CA">
                    <w:t xml:space="preserve"> Thrombozyten/Standardpackung</w:t>
                  </w:r>
                </w:p>
                <w:p w:rsidR="00120D06" w:rsidRPr="000F54CA" w:rsidRDefault="00120D06" w:rsidP="00E76B63">
                  <w:pPr>
                    <w:pStyle w:val="Fuzeile"/>
                    <w:tabs>
                      <w:tab w:val="clear" w:pos="9072"/>
                      <w:tab w:val="left" w:pos="567"/>
                      <w:tab w:val="left" w:pos="1134"/>
                      <w:tab w:val="left" w:pos="2268"/>
                      <w:tab w:val="left" w:pos="3402"/>
                      <w:tab w:val="left" w:pos="4536"/>
                      <w:tab w:val="left" w:pos="5670"/>
                      <w:tab w:val="left" w:pos="6804"/>
                      <w:tab w:val="left" w:pos="7938"/>
                    </w:tabs>
                  </w:pPr>
                  <w:r w:rsidRPr="000F54CA">
                    <w:t xml:space="preserve"> </w:t>
                  </w:r>
                </w:p>
                <w:p w:rsidR="00120D06" w:rsidRPr="000F54CA" w:rsidRDefault="00120D06" w:rsidP="00E76B63">
                  <w:pPr>
                    <w:jc w:val="both"/>
                    <w:rPr>
                      <w:b/>
                      <w:sz w:val="22"/>
                    </w:rPr>
                  </w:pPr>
                  <w:r w:rsidRPr="000F54CA">
                    <w:rPr>
                      <w:b/>
                      <w:sz w:val="22"/>
                    </w:rPr>
                    <w:t>Sonstige Bestandteile:</w:t>
                  </w:r>
                </w:p>
                <w:p w:rsidR="00120D06" w:rsidRDefault="00120D06" w:rsidP="00E76B63">
                  <w:pPr>
                    <w:jc w:val="both"/>
                  </w:pPr>
                  <w:r w:rsidRPr="0054638C">
                    <w:t>1 ml enthält 0,08 bis 0,11 ml CPD-Stabilisator</w:t>
                  </w:r>
                </w:p>
                <w:p w:rsidR="00120D06" w:rsidRPr="0054638C" w:rsidRDefault="00120D06" w:rsidP="00E76B63">
                  <w:pPr>
                    <w:jc w:val="both"/>
                  </w:pPr>
                  <w:r w:rsidRPr="0054638C">
                    <w:t xml:space="preserve">1 ml enthält 0,38 bis 0,43 ml </w:t>
                  </w:r>
                  <w:r>
                    <w:t>Human-</w:t>
                  </w:r>
                  <w:r w:rsidRPr="0054638C">
                    <w:t>Plasma</w:t>
                  </w:r>
                </w:p>
                <w:p w:rsidR="00120D06" w:rsidRPr="0054638C" w:rsidRDefault="00120D06" w:rsidP="00E76B63">
                  <w:pPr>
                    <w:jc w:val="both"/>
                  </w:pPr>
                  <w:r w:rsidRPr="0054638C">
                    <w:t xml:space="preserve">1 ml enthält 0,46 bis 0,54 ml </w:t>
                  </w:r>
                  <w:r>
                    <w:t>Plasmaersatzlösung</w:t>
                  </w:r>
                </w:p>
                <w:p w:rsidR="00120D06" w:rsidRDefault="00120D06" w:rsidP="00E76B63">
                  <w:pPr>
                    <w:jc w:val="both"/>
                  </w:pPr>
                </w:p>
                <w:p w:rsidR="00120D06" w:rsidRDefault="00120D06" w:rsidP="00E76B63">
                  <w:pPr>
                    <w:pStyle w:val="StandardBlocksatz"/>
                  </w:pPr>
                  <w:r>
                    <w:t>Zusammensetzung der Plasmaersatzlösung SSP+ (2030U) MacoPharma:</w:t>
                  </w:r>
                </w:p>
                <w:p w:rsidR="00120D06" w:rsidRPr="00F70794" w:rsidRDefault="00120D06" w:rsidP="00E76B63">
                  <w:pPr>
                    <w:jc w:val="both"/>
                  </w:pPr>
                  <w:r w:rsidRPr="00F70794">
                    <w:t>3,18 g Natriumcitrat-Dihydrat</w:t>
                  </w:r>
                </w:p>
                <w:p w:rsidR="00120D06" w:rsidRPr="00F70794" w:rsidRDefault="00120D06" w:rsidP="00E76B63">
                  <w:pPr>
                    <w:jc w:val="both"/>
                  </w:pPr>
                  <w:r w:rsidRPr="00F70794">
                    <w:t>4,05 g Natriumchlorid</w:t>
                  </w:r>
                </w:p>
                <w:p w:rsidR="00120D06" w:rsidRPr="00F70794" w:rsidRDefault="00120D06" w:rsidP="00E76B63">
                  <w:pPr>
                    <w:jc w:val="both"/>
                  </w:pPr>
                  <w:r w:rsidRPr="00F70794">
                    <w:t>4,42 g Natriumacetat-Trihydrat</w:t>
                  </w:r>
                </w:p>
                <w:p w:rsidR="00120D06" w:rsidRPr="00F70794" w:rsidRDefault="00120D06" w:rsidP="00E76B63">
                  <w:pPr>
                    <w:jc w:val="both"/>
                  </w:pPr>
                  <w:r w:rsidRPr="00F70794">
                    <w:t>1,05 g Natriumdihydrogenphsphat-Dihydrat</w:t>
                  </w:r>
                </w:p>
                <w:p w:rsidR="00120D06" w:rsidRPr="00F70794" w:rsidRDefault="00120D06" w:rsidP="00E76B63">
                  <w:pPr>
                    <w:jc w:val="both"/>
                  </w:pPr>
                  <w:r w:rsidRPr="00F70794">
                    <w:t>3,05 g Dinatriumphosphat</w:t>
                  </w:r>
                </w:p>
                <w:p w:rsidR="00120D06" w:rsidRPr="00F70794" w:rsidRDefault="00120D06" w:rsidP="00E76B63">
                  <w:pPr>
                    <w:jc w:val="both"/>
                  </w:pPr>
                  <w:r w:rsidRPr="00F70794">
                    <w:t>0,37 g Kaliumchlorid</w:t>
                  </w:r>
                </w:p>
                <w:p w:rsidR="00120D06" w:rsidRPr="0021013D" w:rsidRDefault="00120D06" w:rsidP="00E76B63">
                  <w:pPr>
                    <w:jc w:val="both"/>
                    <w:rPr>
                      <w:lang w:val="en-GB"/>
                    </w:rPr>
                  </w:pPr>
                  <w:r w:rsidRPr="0021013D">
                    <w:rPr>
                      <w:lang w:val="en-GB"/>
                    </w:rPr>
                    <w:t>0,30 g Magnesiumchlorid-Hexahydrat</w:t>
                  </w:r>
                </w:p>
                <w:p w:rsidR="00120D06" w:rsidRPr="0021013D" w:rsidRDefault="00120D06" w:rsidP="00E76B63">
                  <w:pPr>
                    <w:jc w:val="both"/>
                    <w:rPr>
                      <w:lang w:val="en-GB"/>
                    </w:rPr>
                  </w:pPr>
                  <w:r w:rsidRPr="0021013D">
                    <w:rPr>
                      <w:lang w:val="en-GB"/>
                    </w:rPr>
                    <w:t>ad 1 L Aqua ad iniectabilia</w:t>
                  </w:r>
                </w:p>
                <w:p w:rsidR="00120D06" w:rsidRPr="00F70794" w:rsidRDefault="00120D06" w:rsidP="00E76B63">
                  <w:pPr>
                    <w:pStyle w:val="StandardBlocksatz"/>
                    <w:rPr>
                      <w:lang w:val="it-IT"/>
                    </w:rPr>
                  </w:pPr>
                </w:p>
                <w:p w:rsidR="00120D06" w:rsidRDefault="00120D06" w:rsidP="00E76B63">
                  <w:pPr>
                    <w:jc w:val="both"/>
                  </w:pPr>
                  <w:r>
                    <w:t>Restzellzahlen pro Standardpackung:</w:t>
                  </w:r>
                </w:p>
                <w:p w:rsidR="00120D06" w:rsidRPr="0054638C" w:rsidRDefault="00120D06" w:rsidP="00E76B63">
                  <w:pPr>
                    <w:jc w:val="both"/>
                  </w:pPr>
                  <w:r w:rsidRPr="0054638C">
                    <w:t>1 Einheit enthält weniger als 3,0 x 10</w:t>
                  </w:r>
                  <w:r w:rsidRPr="00F70794">
                    <w:rPr>
                      <w:vertAlign w:val="superscript"/>
                    </w:rPr>
                    <w:t>9</w:t>
                  </w:r>
                  <w:r w:rsidRPr="0054638C">
                    <w:t xml:space="preserve"> Erythrozyten</w:t>
                  </w:r>
                </w:p>
                <w:p w:rsidR="00120D06" w:rsidRPr="0054638C" w:rsidRDefault="00120D06" w:rsidP="00E76B63">
                  <w:pPr>
                    <w:jc w:val="both"/>
                  </w:pPr>
                  <w:r w:rsidRPr="0054638C">
                    <w:t>1 Einheit enthält weniger als 1,0 x 10</w:t>
                  </w:r>
                  <w:r w:rsidRPr="00F70794">
                    <w:rPr>
                      <w:vertAlign w:val="superscript"/>
                    </w:rPr>
                    <w:t>6</w:t>
                  </w:r>
                  <w:r w:rsidRPr="0054638C">
                    <w:t xml:space="preserve"> Leukozyten</w:t>
                  </w:r>
                </w:p>
                <w:p w:rsidR="00120D06" w:rsidRPr="000F54CA" w:rsidRDefault="00120D06" w:rsidP="00E76B63">
                  <w:pPr>
                    <w:jc w:val="both"/>
                    <w:rPr>
                      <w:b/>
                    </w:rPr>
                  </w:pPr>
                </w:p>
              </w:tc>
            </w:tr>
            <w:tr w:rsidR="00120D06" w:rsidRPr="000F54CA" w:rsidTr="00E76B63">
              <w:tblPrEx>
                <w:tblCellMar>
                  <w:top w:w="0" w:type="dxa"/>
                  <w:bottom w:w="0" w:type="dxa"/>
                </w:tblCellMar>
              </w:tblPrEx>
              <w:tc>
                <w:tcPr>
                  <w:tcW w:w="567" w:type="dxa"/>
                </w:tcPr>
                <w:p w:rsidR="00120D06" w:rsidRPr="000F54CA" w:rsidRDefault="00120D06" w:rsidP="00E76B63">
                  <w:pPr>
                    <w:jc w:val="both"/>
                    <w:rPr>
                      <w:b/>
                    </w:rPr>
                  </w:pPr>
                </w:p>
              </w:tc>
              <w:tc>
                <w:tcPr>
                  <w:tcW w:w="8860" w:type="dxa"/>
                </w:tcPr>
                <w:p w:rsidR="00120D06" w:rsidRPr="000F54CA" w:rsidRDefault="00120D06" w:rsidP="00E76B63">
                  <w:pPr>
                    <w:numPr>
                      <w:ilvl w:val="12"/>
                      <w:numId w:val="0"/>
                    </w:numPr>
                    <w:jc w:val="both"/>
                    <w:rPr>
                      <w:b/>
                    </w:rPr>
                  </w:pPr>
                  <w:r w:rsidRPr="000F54CA">
                    <w:rPr>
                      <w:b/>
                    </w:rPr>
                    <w:t>d) Darreichungsform und Inhalt, Behältnis</w:t>
                  </w:r>
                </w:p>
                <w:p w:rsidR="00120D06" w:rsidRPr="000F54CA" w:rsidRDefault="00120D06" w:rsidP="00E76B63">
                  <w:pPr>
                    <w:jc w:val="both"/>
                  </w:pPr>
                  <w:r>
                    <w:t>270</w:t>
                  </w:r>
                  <w:r w:rsidRPr="000F54CA">
                    <w:t xml:space="preserve"> bis </w:t>
                  </w:r>
                  <w:r>
                    <w:t>400</w:t>
                  </w:r>
                  <w:r w:rsidRPr="000F54CA">
                    <w:t xml:space="preserve"> ml Suspension im Kunststoffbeutel mit CE-Zertifikat</w:t>
                  </w:r>
                </w:p>
                <w:p w:rsidR="00120D06" w:rsidRPr="000F54CA" w:rsidRDefault="00120D06" w:rsidP="00E76B63">
                  <w:pPr>
                    <w:jc w:val="both"/>
                  </w:pPr>
                </w:p>
              </w:tc>
            </w:tr>
            <w:tr w:rsidR="00120D06" w:rsidRPr="000F54CA" w:rsidTr="00E76B63">
              <w:tblPrEx>
                <w:tblCellMar>
                  <w:top w:w="0" w:type="dxa"/>
                  <w:bottom w:w="0" w:type="dxa"/>
                </w:tblCellMar>
              </w:tblPrEx>
              <w:tc>
                <w:tcPr>
                  <w:tcW w:w="567" w:type="dxa"/>
                </w:tcPr>
                <w:p w:rsidR="00120D06" w:rsidRPr="000F54CA" w:rsidRDefault="00120D06" w:rsidP="00E76B63">
                  <w:pPr>
                    <w:jc w:val="both"/>
                    <w:rPr>
                      <w:b/>
                    </w:rPr>
                  </w:pPr>
                </w:p>
              </w:tc>
              <w:tc>
                <w:tcPr>
                  <w:tcW w:w="8860" w:type="dxa"/>
                </w:tcPr>
                <w:p w:rsidR="00120D06" w:rsidRDefault="00120D06" w:rsidP="00E76B63">
                  <w:pPr>
                    <w:jc w:val="both"/>
                    <w:rPr>
                      <w:b/>
                    </w:rPr>
                  </w:pPr>
                  <w:r w:rsidRPr="000F54CA">
                    <w:rPr>
                      <w:b/>
                    </w:rPr>
                    <w:t xml:space="preserve">e) Angaben zum pharmazeutischen Unternehmer/Inhaber der Zulassung </w:t>
                  </w:r>
                </w:p>
                <w:p w:rsidR="00120D06" w:rsidRPr="0054638C" w:rsidRDefault="00120D06" w:rsidP="00E76B63">
                  <w:pPr>
                    <w:jc w:val="both"/>
                  </w:pPr>
                  <w:r>
                    <w:t>Universitätsklinikum Hamburg-Eppendorf, Martinistraße 52, 20246 Hamburg</w:t>
                  </w:r>
                </w:p>
                <w:p w:rsidR="00120D06" w:rsidRPr="000F54CA" w:rsidRDefault="00120D06" w:rsidP="00E76B63">
                  <w:pPr>
                    <w:jc w:val="both"/>
                    <w:rPr>
                      <w:i/>
                      <w:iCs/>
                    </w:rPr>
                  </w:pPr>
                </w:p>
                <w:p w:rsidR="00120D06" w:rsidRPr="000F54CA" w:rsidRDefault="00120D06" w:rsidP="00E76B63">
                  <w:pPr>
                    <w:jc w:val="both"/>
                  </w:pPr>
                </w:p>
              </w:tc>
            </w:tr>
            <w:tr w:rsidR="00120D06" w:rsidRPr="000F54CA" w:rsidTr="00E76B63">
              <w:tblPrEx>
                <w:tblCellMar>
                  <w:top w:w="0" w:type="dxa"/>
                  <w:bottom w:w="0" w:type="dxa"/>
                </w:tblCellMar>
              </w:tblPrEx>
              <w:tc>
                <w:tcPr>
                  <w:tcW w:w="567" w:type="dxa"/>
                </w:tcPr>
                <w:p w:rsidR="00120D06" w:rsidRPr="000F54CA" w:rsidRDefault="00120D06" w:rsidP="00E76B63">
                  <w:pPr>
                    <w:jc w:val="both"/>
                    <w:rPr>
                      <w:b/>
                    </w:rPr>
                  </w:pPr>
                </w:p>
              </w:tc>
              <w:tc>
                <w:tcPr>
                  <w:tcW w:w="8860" w:type="dxa"/>
                </w:tcPr>
                <w:p w:rsidR="00120D06" w:rsidRPr="00F054F1" w:rsidRDefault="00120D06" w:rsidP="00E76B63">
                  <w:pPr>
                    <w:pStyle w:val="Textkrper2"/>
                    <w:jc w:val="left"/>
                    <w:rPr>
                      <w:sz w:val="20"/>
                    </w:rPr>
                  </w:pPr>
                  <w:r w:rsidRPr="00F054F1">
                    <w:rPr>
                      <w:sz w:val="20"/>
                    </w:rPr>
                    <w:t>f) Angaben zum Hersteller, der das Fertigarzneimittel für das Inverkehrbri</w:t>
                  </w:r>
                  <w:r w:rsidRPr="00F054F1">
                    <w:rPr>
                      <w:sz w:val="20"/>
                    </w:rPr>
                    <w:t>n</w:t>
                  </w:r>
                  <w:r w:rsidRPr="00F054F1">
                    <w:rPr>
                      <w:sz w:val="20"/>
                    </w:rPr>
                    <w:t>gen fre</w:t>
                  </w:r>
                  <w:r w:rsidRPr="00F054F1">
                    <w:rPr>
                      <w:sz w:val="20"/>
                    </w:rPr>
                    <w:t>i</w:t>
                  </w:r>
                  <w:r w:rsidRPr="00F054F1">
                    <w:rPr>
                      <w:sz w:val="20"/>
                    </w:rPr>
                    <w:t xml:space="preserve">gegeben hat </w:t>
                  </w:r>
                </w:p>
                <w:p w:rsidR="00120D06" w:rsidRDefault="00120D06" w:rsidP="00E76B63">
                  <w:pPr>
                    <w:jc w:val="both"/>
                  </w:pPr>
                  <w:r>
                    <w:t>Universitätsklinikum Hamburg-Eppendorf</w:t>
                  </w:r>
                </w:p>
                <w:p w:rsidR="00120D06" w:rsidRDefault="00120D06" w:rsidP="00E76B63">
                  <w:pPr>
                    <w:jc w:val="both"/>
                  </w:pPr>
                  <w:r>
                    <w:t>Institut für Transfusionsmedizin</w:t>
                  </w:r>
                </w:p>
                <w:p w:rsidR="00120D06" w:rsidRDefault="00120D06" w:rsidP="00E76B63">
                  <w:pPr>
                    <w:jc w:val="both"/>
                  </w:pPr>
                  <w:r>
                    <w:t>Martinistraße 52</w:t>
                  </w:r>
                </w:p>
                <w:p w:rsidR="00120D06" w:rsidRPr="0054638C" w:rsidRDefault="00120D06" w:rsidP="00E76B63">
                  <w:pPr>
                    <w:jc w:val="both"/>
                  </w:pPr>
                  <w:r>
                    <w:t>20246 Hamburg</w:t>
                  </w:r>
                </w:p>
                <w:p w:rsidR="00120D06" w:rsidRPr="000F54CA" w:rsidRDefault="00120D06" w:rsidP="00E76B63">
                  <w:pPr>
                    <w:jc w:val="both"/>
                    <w:rPr>
                      <w:b/>
                      <w:iCs/>
                    </w:rPr>
                  </w:pPr>
                </w:p>
              </w:tc>
            </w:tr>
            <w:tr w:rsidR="00120D06" w:rsidRPr="000F54CA" w:rsidTr="00E76B63">
              <w:tblPrEx>
                <w:tblCellMar>
                  <w:top w:w="0" w:type="dxa"/>
                  <w:bottom w:w="0" w:type="dxa"/>
                </w:tblCellMar>
              </w:tblPrEx>
              <w:tc>
                <w:tcPr>
                  <w:tcW w:w="567" w:type="dxa"/>
                </w:tcPr>
                <w:p w:rsidR="00120D06" w:rsidRPr="000F54CA" w:rsidRDefault="00120D06" w:rsidP="00E76B63">
                  <w:pPr>
                    <w:jc w:val="both"/>
                    <w:rPr>
                      <w:b/>
                    </w:rPr>
                  </w:pPr>
                </w:p>
              </w:tc>
              <w:tc>
                <w:tcPr>
                  <w:tcW w:w="8860" w:type="dxa"/>
                </w:tcPr>
                <w:p w:rsidR="00120D06" w:rsidRPr="000F54CA" w:rsidRDefault="00120D06" w:rsidP="00E76B63">
                  <w:pPr>
                    <w:jc w:val="both"/>
                    <w:rPr>
                      <w:b/>
                    </w:rPr>
                  </w:pPr>
                  <w:r w:rsidRPr="000F54CA">
                    <w:rPr>
                      <w:b/>
                    </w:rPr>
                    <w:t>g) Zulassungsnummer</w:t>
                  </w:r>
                </w:p>
                <w:p w:rsidR="00120D06" w:rsidRDefault="00120D06" w:rsidP="00E76B63">
                  <w:pPr>
                    <w:jc w:val="both"/>
                  </w:pPr>
                  <w:r>
                    <w:t>PEI.H.04346.01.1</w:t>
                  </w:r>
                </w:p>
                <w:p w:rsidR="00120D06" w:rsidRPr="000B68E6" w:rsidRDefault="00120D06" w:rsidP="00E76B63">
                  <w:pPr>
                    <w:pStyle w:val="StandardBlocksatz"/>
                  </w:pPr>
                </w:p>
              </w:tc>
            </w:tr>
            <w:tr w:rsidR="00120D06" w:rsidRPr="000F54CA" w:rsidTr="00E76B63">
              <w:tblPrEx>
                <w:tblCellMar>
                  <w:top w:w="0" w:type="dxa"/>
                  <w:bottom w:w="0" w:type="dxa"/>
                </w:tblCellMar>
              </w:tblPrEx>
              <w:tc>
                <w:tcPr>
                  <w:tcW w:w="567" w:type="dxa"/>
                </w:tcPr>
                <w:p w:rsidR="00120D06" w:rsidRPr="000F54CA" w:rsidRDefault="00120D06" w:rsidP="00E76B63">
                  <w:pPr>
                    <w:jc w:val="both"/>
                    <w:rPr>
                      <w:b/>
                    </w:rPr>
                  </w:pPr>
                </w:p>
              </w:tc>
              <w:tc>
                <w:tcPr>
                  <w:tcW w:w="8860" w:type="dxa"/>
                </w:tcPr>
                <w:p w:rsidR="00120D06" w:rsidRPr="000F54CA" w:rsidRDefault="00120D06" w:rsidP="00E76B63">
                  <w:pPr>
                    <w:spacing w:after="60"/>
                    <w:jc w:val="both"/>
                    <w:rPr>
                      <w:b/>
                    </w:rPr>
                  </w:pPr>
                  <w:r w:rsidRPr="000F54CA">
                    <w:rPr>
                      <w:b/>
                    </w:rPr>
                    <w:t xml:space="preserve">h) Datum der </w:t>
                  </w:r>
                  <w:r w:rsidR="00C70872">
                    <w:rPr>
                      <w:b/>
                    </w:rPr>
                    <w:t>Verlängerung</w:t>
                  </w:r>
                  <w:r w:rsidRPr="000F54CA">
                    <w:rPr>
                      <w:b/>
                    </w:rPr>
                    <w:t xml:space="preserve"> der Zulassung </w:t>
                  </w:r>
                </w:p>
                <w:p w:rsidR="00120D06" w:rsidRDefault="00C70872" w:rsidP="00E76B63">
                  <w:pPr>
                    <w:jc w:val="both"/>
                  </w:pPr>
                  <w:r>
                    <w:t>15.06.2017</w:t>
                  </w:r>
                </w:p>
                <w:p w:rsidR="00120D06" w:rsidRPr="000B68E6" w:rsidRDefault="00120D06" w:rsidP="00E76B63">
                  <w:pPr>
                    <w:pStyle w:val="StandardBlocksatz"/>
                  </w:pPr>
                </w:p>
              </w:tc>
            </w:tr>
            <w:tr w:rsidR="00120D06" w:rsidRPr="000F54CA" w:rsidTr="00E76B63">
              <w:tblPrEx>
                <w:tblCellMar>
                  <w:top w:w="0" w:type="dxa"/>
                  <w:bottom w:w="0" w:type="dxa"/>
                </w:tblCellMar>
              </w:tblPrEx>
              <w:trPr>
                <w:trHeight w:val="287"/>
              </w:trPr>
              <w:tc>
                <w:tcPr>
                  <w:tcW w:w="567" w:type="dxa"/>
                </w:tcPr>
                <w:p w:rsidR="00120D06" w:rsidRPr="000F54CA" w:rsidRDefault="00120D06" w:rsidP="00E76B63">
                  <w:pPr>
                    <w:jc w:val="both"/>
                    <w:rPr>
                      <w:b/>
                    </w:rPr>
                  </w:pPr>
                </w:p>
              </w:tc>
              <w:tc>
                <w:tcPr>
                  <w:tcW w:w="8860" w:type="dxa"/>
                </w:tcPr>
                <w:p w:rsidR="00120D06" w:rsidRPr="000F54CA" w:rsidRDefault="00120D06" w:rsidP="00E76B63">
                  <w:pPr>
                    <w:jc w:val="both"/>
                    <w:rPr>
                      <w:b/>
                    </w:rPr>
                  </w:pPr>
                  <w:r w:rsidRPr="000F54CA">
                    <w:rPr>
                      <w:b/>
                    </w:rPr>
                    <w:t>i) Arzneimittelstatus</w:t>
                  </w:r>
                </w:p>
                <w:p w:rsidR="00120D06" w:rsidRPr="000F54CA" w:rsidRDefault="00120D06" w:rsidP="00E76B63">
                  <w:pPr>
                    <w:jc w:val="both"/>
                  </w:pPr>
                  <w:r w:rsidRPr="000F54CA">
                    <w:t>Verschreibungspflichtig</w:t>
                  </w:r>
                </w:p>
                <w:p w:rsidR="00120D06" w:rsidRPr="000F54CA" w:rsidRDefault="00120D06" w:rsidP="00E76B63">
                  <w:pPr>
                    <w:jc w:val="both"/>
                  </w:pPr>
                </w:p>
              </w:tc>
            </w:tr>
            <w:tr w:rsidR="00120D06" w:rsidRPr="000F54CA" w:rsidTr="00E76B63">
              <w:tblPrEx>
                <w:tblCellMar>
                  <w:top w:w="0" w:type="dxa"/>
                  <w:bottom w:w="0" w:type="dxa"/>
                </w:tblCellMar>
              </w:tblPrEx>
              <w:tc>
                <w:tcPr>
                  <w:tcW w:w="567" w:type="dxa"/>
                </w:tcPr>
                <w:p w:rsidR="00120D06" w:rsidRPr="000F54CA" w:rsidRDefault="00120D06" w:rsidP="00E76B63">
                  <w:pPr>
                    <w:jc w:val="both"/>
                    <w:rPr>
                      <w:b/>
                    </w:rPr>
                  </w:pPr>
                  <w:r w:rsidRPr="000F54CA">
                    <w:rPr>
                      <w:b/>
                    </w:rPr>
                    <w:br w:type="page"/>
                  </w:r>
                  <w:r w:rsidRPr="000F54CA">
                    <w:rPr>
                      <w:b/>
                    </w:rPr>
                    <w:br w:type="page"/>
                  </w:r>
                  <w:r w:rsidRPr="000F54CA">
                    <w:rPr>
                      <w:b/>
                    </w:rPr>
                    <w:br w:type="page"/>
                    <w:t>8.</w:t>
                  </w:r>
                </w:p>
                <w:p w:rsidR="00120D06" w:rsidRPr="000F54CA" w:rsidRDefault="00120D06" w:rsidP="00E76B63">
                  <w:pPr>
                    <w:jc w:val="both"/>
                    <w:rPr>
                      <w:b/>
                    </w:rPr>
                  </w:pPr>
                </w:p>
              </w:tc>
              <w:tc>
                <w:tcPr>
                  <w:tcW w:w="8860" w:type="dxa"/>
                </w:tcPr>
                <w:p w:rsidR="00120D06" w:rsidRPr="000F54CA" w:rsidRDefault="00120D06" w:rsidP="00E76B63">
                  <w:pPr>
                    <w:jc w:val="both"/>
                    <w:rPr>
                      <w:u w:val="single"/>
                    </w:rPr>
                  </w:pPr>
                  <w:r w:rsidRPr="000F54CA">
                    <w:rPr>
                      <w:b/>
                    </w:rPr>
                    <w:t>Sonstige Hinweise</w:t>
                  </w:r>
                  <w:r w:rsidRPr="000F54CA">
                    <w:rPr>
                      <w:u w:val="single"/>
                    </w:rPr>
                    <w:t xml:space="preserve"> </w:t>
                  </w:r>
                </w:p>
                <w:p w:rsidR="00120D06" w:rsidRPr="000F54CA" w:rsidRDefault="00120D06" w:rsidP="00E76B63">
                  <w:r w:rsidRPr="000F54CA">
                    <w:rPr>
                      <w:u w:val="single"/>
                    </w:rPr>
                    <w:t xml:space="preserve">Maßnahmen zur Reduktion des Übertragungsrisikos von Infektionserregern: </w:t>
                  </w:r>
                  <w:r w:rsidRPr="000F54CA">
                    <w:rPr>
                      <w:u w:val="single"/>
                    </w:rPr>
                    <w:br/>
                  </w:r>
                  <w:r w:rsidRPr="000F54CA">
                    <w:t>Da bei der Anwendung von aus menschlichem Blut hergestellten Arzneimitteln die Übertragung von Infektionskrankheiten nicht völlig auszuschließen ist, werden Maßnahmen g</w:t>
                  </w:r>
                  <w:r w:rsidRPr="000F54CA">
                    <w:t>e</w:t>
                  </w:r>
                  <w:r w:rsidRPr="000F54CA">
                    <w:t>troffen, um das Risiko einer Übertragung von infektiösem Material zu minimieren: Für die Herstellung von „</w:t>
                  </w:r>
                  <w:r>
                    <w:t>TKSF PAS (UKE) bestrahlt</w:t>
                  </w:r>
                  <w:r w:rsidRPr="000F54CA">
                    <w:t>“ werden au</w:t>
                  </w:r>
                  <w:r w:rsidRPr="000F54CA">
                    <w:t>s</w:t>
                  </w:r>
                  <w:r w:rsidRPr="000F54CA">
                    <w:t>schließlich Spenden gesunder Spender verwendet, die mit negativem Ergebnis getestet wurden auf Humanes Immundefizienz Virus (Anti-HIV-1/2-Ak, HIV-1 G</w:t>
                  </w:r>
                  <w:r w:rsidRPr="000F54CA">
                    <w:t>e</w:t>
                  </w:r>
                  <w:r w:rsidRPr="000F54CA">
                    <w:t>nom), Hepatitis-B Virus (HB</w:t>
                  </w:r>
                  <w:r>
                    <w:t>sAg, Anti-HBc-Ak</w:t>
                  </w:r>
                  <w:r w:rsidRPr="000F54CA">
                    <w:t>), H</w:t>
                  </w:r>
                  <w:r w:rsidRPr="000F54CA">
                    <w:t>e</w:t>
                  </w:r>
                  <w:r w:rsidRPr="000F54CA">
                    <w:t xml:space="preserve">patitis-C Virus (Anti-HCV-Ak, HCV-Genom) und Treponema pallidum (Anti-Treponema pallidum-Ak). </w:t>
                  </w:r>
                  <w:r w:rsidRPr="004A7A11">
                    <w:t>Der Alanin-Aminotransferase-Wert (ALT/ALAT) darf einen festgelegten Grenzwert nicht überschreiten.</w:t>
                  </w:r>
                  <w:r w:rsidRPr="000F54CA">
                    <w:t xml:space="preserve"> Darüber hi</w:t>
                  </w:r>
                  <w:r w:rsidRPr="000F54CA">
                    <w:t>n</w:t>
                  </w:r>
                  <w:r w:rsidRPr="000F54CA">
                    <w:t>aus kann durch die Leukozytendepletion das Risiko einer Übertragung von leukozytenassoziierten V</w:t>
                  </w:r>
                  <w:r w:rsidRPr="000F54CA">
                    <w:t>i</w:t>
                  </w:r>
                  <w:r w:rsidRPr="000F54CA">
                    <w:t>ren (HTLV-I/II, CMV, EBV u.a.) und Bakterien (Yersinia enterocolitica) entsche</w:t>
                  </w:r>
                  <w:r w:rsidRPr="000F54CA">
                    <w:t>i</w:t>
                  </w:r>
                  <w:r w:rsidRPr="000F54CA">
                    <w:t>dend ve</w:t>
                  </w:r>
                  <w:r w:rsidRPr="000F54CA">
                    <w:t>r</w:t>
                  </w:r>
                  <w:r w:rsidRPr="000F54CA">
                    <w:t>mindert werden.</w:t>
                  </w:r>
                </w:p>
                <w:p w:rsidR="00120D06" w:rsidRPr="000F54CA" w:rsidRDefault="00120D06" w:rsidP="00E76B63">
                  <w:pPr>
                    <w:jc w:val="both"/>
                  </w:pPr>
                  <w:r w:rsidRPr="000F54CA">
                    <w:rPr>
                      <w:u w:val="single"/>
                    </w:rPr>
                    <w:t>Qualitätssicherung:</w:t>
                  </w:r>
                  <w:r w:rsidRPr="000F54CA">
                    <w:t xml:space="preserve"> </w:t>
                  </w:r>
                </w:p>
                <w:p w:rsidR="00120D06" w:rsidRPr="00F054F1" w:rsidRDefault="00120D06" w:rsidP="00E76B63">
                  <w:pPr>
                    <w:pStyle w:val="Textkrper"/>
                    <w:rPr>
                      <w:sz w:val="20"/>
                      <w:szCs w:val="20"/>
                    </w:rPr>
                  </w:pPr>
                  <w:r w:rsidRPr="00F054F1">
                    <w:rPr>
                      <w:sz w:val="20"/>
                      <w:szCs w:val="20"/>
                    </w:rPr>
                    <w:t>Für die Transfusion von Thrombozytenkonzentraten sind von den Einrichtungen der Krankenversorgung Maßnahmen im Rahmen der Qualitätssicherung nach § 15 des Transfusionsgesetzes zu ergreifen. Dazu gehören u.a. detaillierte A</w:t>
                  </w:r>
                  <w:r w:rsidRPr="00F054F1">
                    <w:rPr>
                      <w:sz w:val="20"/>
                      <w:szCs w:val="20"/>
                    </w:rPr>
                    <w:t>n</w:t>
                  </w:r>
                  <w:r w:rsidRPr="00F054F1">
                    <w:rPr>
                      <w:sz w:val="20"/>
                      <w:szCs w:val="20"/>
                    </w:rPr>
                    <w:t>weisungen sowohl für die Indikationsstellung und Dosierung abhängig von Thrombozytenanzahl und -abfall bei unterschiedlichen Grunderkrankungen, Vo</w:t>
                  </w:r>
                  <w:r w:rsidRPr="00F054F1">
                    <w:rPr>
                      <w:sz w:val="20"/>
                      <w:szCs w:val="20"/>
                    </w:rPr>
                    <w:t>r</w:t>
                  </w:r>
                  <w:r w:rsidRPr="00F054F1">
                    <w:rPr>
                      <w:sz w:val="20"/>
                      <w:szCs w:val="20"/>
                    </w:rPr>
                    <w:t>sorgemaßnahmen zur Erhaltung der Unversehrtheit der Konserve vor der Tran</w:t>
                  </w:r>
                  <w:r w:rsidRPr="00F054F1">
                    <w:rPr>
                      <w:sz w:val="20"/>
                      <w:szCs w:val="20"/>
                    </w:rPr>
                    <w:t>s</w:t>
                  </w:r>
                  <w:r w:rsidRPr="00F054F1">
                    <w:rPr>
                      <w:sz w:val="20"/>
                      <w:szCs w:val="20"/>
                    </w:rPr>
                    <w:t>fusion und Anweisungen zur Nachuntersuchung der Patienten für die Festste</w:t>
                  </w:r>
                  <w:r w:rsidRPr="00F054F1">
                    <w:rPr>
                      <w:sz w:val="20"/>
                      <w:szCs w:val="20"/>
                    </w:rPr>
                    <w:t>l</w:t>
                  </w:r>
                  <w:r w:rsidRPr="00F054F1">
                    <w:rPr>
                      <w:sz w:val="20"/>
                      <w:szCs w:val="20"/>
                    </w:rPr>
                    <w:t>lung des Transfusionserfolges, eventuell gebildeter Antikörper und zu ergreifender Prophylaxe. Die Entscheidungskriterien für die Transfusion von Thromboz</w:t>
                  </w:r>
                  <w:r w:rsidRPr="00F054F1">
                    <w:rPr>
                      <w:sz w:val="20"/>
                      <w:szCs w:val="20"/>
                    </w:rPr>
                    <w:t>y</w:t>
                  </w:r>
                  <w:r w:rsidRPr="00F054F1">
                    <w:rPr>
                      <w:sz w:val="20"/>
                      <w:szCs w:val="20"/>
                    </w:rPr>
                    <w:t>ten bei primären und sekundären Knochenmarkinsuffizienzen, aplastischer An</w:t>
                  </w:r>
                  <w:r w:rsidRPr="00F054F1">
                    <w:rPr>
                      <w:sz w:val="20"/>
                      <w:szCs w:val="20"/>
                    </w:rPr>
                    <w:t>ä</w:t>
                  </w:r>
                  <w:r w:rsidRPr="00F054F1">
                    <w:rPr>
                      <w:sz w:val="20"/>
                      <w:szCs w:val="20"/>
                    </w:rPr>
                    <w:t>mie oder Myelodysplasie, disseminierter intravasaler Gerinnung, Patienten mit angebor</w:t>
                  </w:r>
                  <w:r w:rsidRPr="00F054F1">
                    <w:rPr>
                      <w:sz w:val="20"/>
                      <w:szCs w:val="20"/>
                    </w:rPr>
                    <w:t>e</w:t>
                  </w:r>
                  <w:r w:rsidRPr="00F054F1">
                    <w:rPr>
                      <w:sz w:val="20"/>
                      <w:szCs w:val="20"/>
                    </w:rPr>
                    <w:t>nen Thrombozytopathien/-penien, Auto</w:t>
                  </w:r>
                  <w:r w:rsidRPr="00F054F1">
                    <w:rPr>
                      <w:sz w:val="20"/>
                      <w:szCs w:val="20"/>
                    </w:rPr>
                    <w:softHyphen/>
                    <w:t>immun</w:t>
                  </w:r>
                  <w:r w:rsidRPr="00F054F1">
                    <w:rPr>
                      <w:sz w:val="20"/>
                      <w:szCs w:val="20"/>
                    </w:rPr>
                    <w:softHyphen/>
                    <w:t>thrombo</w:t>
                  </w:r>
                  <w:r w:rsidRPr="00F054F1">
                    <w:rPr>
                      <w:sz w:val="20"/>
                      <w:szCs w:val="20"/>
                    </w:rPr>
                    <w:softHyphen/>
                    <w:t>zytopenien, fötaler bzw. A</w:t>
                  </w:r>
                  <w:r w:rsidRPr="00F054F1">
                    <w:rPr>
                      <w:sz w:val="20"/>
                      <w:szCs w:val="20"/>
                    </w:rPr>
                    <w:t>l</w:t>
                  </w:r>
                  <w:r w:rsidRPr="00F054F1">
                    <w:rPr>
                      <w:sz w:val="20"/>
                      <w:szCs w:val="20"/>
                    </w:rPr>
                    <w:t>loimmunthrombozytopenie, für die Auswahl der Präparate und deren Dosierung sowie die Überwachung der Anwendung sind im Rahmen einer patientenbezog</w:t>
                  </w:r>
                  <w:r w:rsidRPr="00F054F1">
                    <w:rPr>
                      <w:sz w:val="20"/>
                      <w:szCs w:val="20"/>
                    </w:rPr>
                    <w:t>e</w:t>
                  </w:r>
                  <w:r w:rsidRPr="00F054F1">
                    <w:rPr>
                      <w:sz w:val="20"/>
                      <w:szCs w:val="20"/>
                    </w:rPr>
                    <w:t>nen Qualitätssicherung durch die transfusions</w:t>
                  </w:r>
                  <w:r w:rsidRPr="00F054F1">
                    <w:rPr>
                      <w:sz w:val="20"/>
                      <w:szCs w:val="20"/>
                    </w:rPr>
                    <w:softHyphen/>
                    <w:t>verantwortlichen Personen festz</w:t>
                  </w:r>
                  <w:r w:rsidRPr="00F054F1">
                    <w:rPr>
                      <w:sz w:val="20"/>
                      <w:szCs w:val="20"/>
                    </w:rPr>
                    <w:t>u</w:t>
                  </w:r>
                  <w:r w:rsidRPr="00F054F1">
                    <w:rPr>
                      <w:sz w:val="20"/>
                      <w:szCs w:val="20"/>
                    </w:rPr>
                    <w:t>legen.</w:t>
                  </w:r>
                </w:p>
                <w:p w:rsidR="00120D06" w:rsidRPr="00F054F1" w:rsidRDefault="00120D06" w:rsidP="00E76B63">
                  <w:pPr>
                    <w:numPr>
                      <w:ilvl w:val="12"/>
                      <w:numId w:val="0"/>
                    </w:numPr>
                    <w:jc w:val="both"/>
                    <w:rPr>
                      <w:u w:val="single"/>
                    </w:rPr>
                  </w:pPr>
                  <w:r w:rsidRPr="00F054F1">
                    <w:rPr>
                      <w:u w:val="single"/>
                    </w:rPr>
                    <w:t>Besondere Vorsichtsmaßnahmen für die Bese</w:t>
                  </w:r>
                  <w:r w:rsidRPr="00F054F1">
                    <w:rPr>
                      <w:u w:val="single"/>
                    </w:rPr>
                    <w:t>i</w:t>
                  </w:r>
                  <w:r w:rsidRPr="00F054F1">
                    <w:rPr>
                      <w:u w:val="single"/>
                    </w:rPr>
                    <w:t>tigung:</w:t>
                  </w:r>
                </w:p>
                <w:p w:rsidR="00120D06" w:rsidRPr="000F54CA" w:rsidRDefault="00120D06" w:rsidP="00E76B63">
                  <w:pPr>
                    <w:pStyle w:val="Textkrper"/>
                  </w:pPr>
                  <w:r w:rsidRPr="00F054F1">
                    <w:rPr>
                      <w:sz w:val="20"/>
                      <w:szCs w:val="20"/>
                    </w:rPr>
                    <w:t>Die ordnungsgemäße Entsorgung von angebrochenen bzw. nicht mehr verwend</w:t>
                  </w:r>
                  <w:r w:rsidRPr="00F054F1">
                    <w:rPr>
                      <w:sz w:val="20"/>
                      <w:szCs w:val="20"/>
                    </w:rPr>
                    <w:softHyphen/>
                    <w:t>baren Präparaten ist entsprechend den Vorgaben der Einrichtung der Kranken</w:t>
                  </w:r>
                  <w:r w:rsidRPr="00F054F1">
                    <w:rPr>
                      <w:sz w:val="20"/>
                      <w:szCs w:val="20"/>
                    </w:rPr>
                    <w:softHyphen/>
                    <w:t>versorgung sicherzustellen.</w:t>
                  </w:r>
                </w:p>
                <w:p w:rsidR="00120D06" w:rsidRPr="000F54CA" w:rsidRDefault="00120D06" w:rsidP="00E76B63">
                  <w:pPr>
                    <w:pStyle w:val="Textkrper"/>
                  </w:pPr>
                </w:p>
                <w:p w:rsidR="00120D06" w:rsidRPr="000F54CA" w:rsidRDefault="00120D06" w:rsidP="00E76B63">
                  <w:pPr>
                    <w:jc w:val="both"/>
                  </w:pPr>
                  <w:r w:rsidRPr="000F54CA">
                    <w:t>Die jeweils aktuellen “</w:t>
                  </w:r>
                  <w:r w:rsidRPr="000F54CA">
                    <w:rPr>
                      <w:lang w:val="de-CH"/>
                    </w:rPr>
                    <w:t>Richtlinien zur Gewinnung von Blut und Blutbestandteilen und zur Anwendung von Blutprodukten (Hämotherapie)</w:t>
                  </w:r>
                  <w:r w:rsidRPr="000F54CA">
                    <w:t>“ sowie gegebenenfalls ergänzende Ve</w:t>
                  </w:r>
                  <w:r w:rsidRPr="000F54CA">
                    <w:t>r</w:t>
                  </w:r>
                  <w:r w:rsidRPr="000F54CA">
                    <w:t>öffentlichungen der Bundesärztekammer und des Paul-Ehrlich-Instituts sind zu berücksic</w:t>
                  </w:r>
                  <w:r w:rsidRPr="000F54CA">
                    <w:t>h</w:t>
                  </w:r>
                  <w:r w:rsidRPr="000F54CA">
                    <w:t>tigen.</w:t>
                  </w:r>
                </w:p>
                <w:p w:rsidR="00120D06" w:rsidRPr="000F54CA" w:rsidRDefault="00120D06" w:rsidP="00E76B63">
                  <w:pPr>
                    <w:jc w:val="both"/>
                  </w:pPr>
                </w:p>
              </w:tc>
            </w:tr>
            <w:tr w:rsidR="00120D06" w:rsidRPr="000F54CA" w:rsidTr="00E76B63">
              <w:tblPrEx>
                <w:tblCellMar>
                  <w:top w:w="0" w:type="dxa"/>
                  <w:bottom w:w="0" w:type="dxa"/>
                </w:tblCellMar>
              </w:tblPrEx>
              <w:tc>
                <w:tcPr>
                  <w:tcW w:w="567" w:type="dxa"/>
                </w:tcPr>
                <w:p w:rsidR="00120D06" w:rsidRPr="000F54CA" w:rsidRDefault="00120D06" w:rsidP="00E76B63">
                  <w:pPr>
                    <w:jc w:val="both"/>
                    <w:rPr>
                      <w:b/>
                    </w:rPr>
                  </w:pPr>
                  <w:r w:rsidRPr="000F54CA">
                    <w:rPr>
                      <w:b/>
                    </w:rPr>
                    <w:t>9.</w:t>
                  </w:r>
                </w:p>
              </w:tc>
              <w:tc>
                <w:tcPr>
                  <w:tcW w:w="8860" w:type="dxa"/>
                </w:tcPr>
                <w:p w:rsidR="00120D06" w:rsidRPr="000F54CA" w:rsidRDefault="00120D06" w:rsidP="00E76B63">
                  <w:pPr>
                    <w:jc w:val="both"/>
                    <w:rPr>
                      <w:b/>
                    </w:rPr>
                  </w:pPr>
                  <w:r w:rsidRPr="000F54CA">
                    <w:rPr>
                      <w:b/>
                    </w:rPr>
                    <w:t>Datum der letzten Überarbeitung</w:t>
                  </w:r>
                </w:p>
                <w:p w:rsidR="00120D06" w:rsidRDefault="00C70872" w:rsidP="00E76B63">
                  <w:pPr>
                    <w:jc w:val="both"/>
                  </w:pPr>
                  <w:r>
                    <w:t>26.0</w:t>
                  </w:r>
                  <w:r w:rsidR="00120D06">
                    <w:t>2.</w:t>
                  </w:r>
                  <w:r>
                    <w:t>2018</w:t>
                  </w:r>
                </w:p>
                <w:p w:rsidR="00120D06" w:rsidRDefault="00120D06" w:rsidP="00E76B63">
                  <w:pPr>
                    <w:pStyle w:val="StandardBlocksatz"/>
                  </w:pPr>
                </w:p>
                <w:p w:rsidR="00120D06" w:rsidRPr="0065036C" w:rsidRDefault="00120D06" w:rsidP="00E76B63">
                  <w:pPr>
                    <w:pStyle w:val="StandardBlocksatz"/>
                  </w:pPr>
                </w:p>
              </w:tc>
            </w:tr>
          </w:tbl>
          <w:p w:rsidR="00120D06" w:rsidRDefault="00120D06" w:rsidP="00E76B63"/>
        </w:tc>
      </w:tr>
    </w:tbl>
    <w:p w:rsidR="0060067B" w:rsidRDefault="0060067B">
      <w:pPr>
        <w:pStyle w:val="StandardBlocksatz"/>
      </w:pPr>
    </w:p>
    <w:sectPr w:rsidR="0060067B">
      <w:headerReference w:type="default" r:id="rId7"/>
      <w:headerReference w:type="first" r:id="rId8"/>
      <w:footerReference w:type="first" r:id="rId9"/>
      <w:pgSz w:w="11906" w:h="16838"/>
      <w:pgMar w:top="851" w:right="851" w:bottom="1134"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022CB" w:rsidRDefault="00D022CB">
      <w:r>
        <w:separator/>
      </w:r>
    </w:p>
  </w:endnote>
  <w:endnote w:type="continuationSeparator" w:id="0">
    <w:p w:rsidR="00D022CB" w:rsidRDefault="00D022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067B" w:rsidRDefault="0060067B">
    <w:pPr>
      <w:pBdr>
        <w:top w:val="single" w:sz="4" w:space="2" w:color="auto"/>
      </w:pBdr>
      <w:jc w:val="center"/>
      <w:rPr>
        <w:sz w:val="16"/>
      </w:rPr>
    </w:pPr>
    <w:r>
      <w:rPr>
        <w:sz w:val="16"/>
      </w:rPr>
      <w:t>Betriebsinternes QM-Dokument, außerbetriebliche Weitergabe ist untersagt. Nur gültig mit Unterschriften!</w:t>
    </w:r>
  </w:p>
  <w:p w:rsidR="0060067B" w:rsidRPr="00D25391" w:rsidRDefault="00D25391" w:rsidP="00D25391">
    <w:pPr>
      <w:pStyle w:val="StandardBlocksatz"/>
      <w:jc w:val="center"/>
      <w:rPr>
        <w:sz w:val="16"/>
        <w:szCs w:val="16"/>
      </w:rPr>
    </w:pPr>
    <w:r>
      <w:rPr>
        <w:sz w:val="16"/>
        <w:szCs w:val="16"/>
      </w:rPr>
      <w:t xml:space="preserve">Vorlage basiert auf SOP </w:t>
    </w:r>
    <w:r w:rsidRPr="005A39B1">
      <w:rPr>
        <w:sz w:val="16"/>
        <w:szCs w:val="16"/>
      </w:rPr>
      <w:t>4.01.01 Anlage 0</w:t>
    </w:r>
    <w:r>
      <w:rPr>
        <w:sz w:val="16"/>
        <w:szCs w:val="16"/>
      </w:rPr>
      <w:t>2</w:t>
    </w:r>
    <w:r w:rsidR="0060067B">
      <w:rPr>
        <w:sz w:val="16"/>
      </w:rPr>
      <w:t>.</w:t>
    </w:r>
  </w:p>
  <w:p w:rsidR="0060067B" w:rsidRDefault="0060067B">
    <w:pPr>
      <w:jc w:val="center"/>
      <w:rPr>
        <w:sz w:val="12"/>
      </w:rPr>
    </w:pPr>
  </w:p>
  <w:p w:rsidR="0060067B" w:rsidRDefault="0060067B">
    <w:r>
      <w:rPr>
        <w:sz w:val="12"/>
      </w:rPr>
      <w:fldChar w:fldCharType="begin"/>
    </w:r>
    <w:r>
      <w:rPr>
        <w:sz w:val="12"/>
      </w:rPr>
      <w:instrText xml:space="preserve"> FILENAME  \* MERGEFORMAT </w:instrText>
    </w:r>
    <w:r>
      <w:rPr>
        <w:sz w:val="12"/>
      </w:rPr>
      <w:fldChar w:fldCharType="separate"/>
    </w:r>
    <w:r w:rsidR="00120D06">
      <w:rPr>
        <w:noProof/>
        <w:sz w:val="12"/>
      </w:rPr>
      <w:t>9-58.516.1-0 TKST PAS (UKE) bestrahlt 2017</w:t>
    </w:r>
    <w:r>
      <w:rPr>
        <w:sz w:val="12"/>
      </w:rPr>
      <w:fldChar w:fldCharType="end"/>
    </w:r>
  </w:p>
  <w:p w:rsidR="0060067B" w:rsidRDefault="0060067B">
    <w:pPr>
      <w:pStyle w:val="Fuzeil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022CB" w:rsidRDefault="00D022CB">
      <w:r>
        <w:separator/>
      </w:r>
    </w:p>
  </w:footnote>
  <w:footnote w:type="continuationSeparator" w:id="0">
    <w:p w:rsidR="00D022CB" w:rsidRDefault="00D022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067B" w:rsidRDefault="0060067B">
    <w:pPr>
      <w:pStyle w:val="StandardBlocksatz"/>
      <w:rPr>
        <w:sz w:val="16"/>
      </w:rPr>
    </w:pPr>
    <w:r>
      <w:rPr>
        <w:b/>
        <w:sz w:val="16"/>
      </w:rPr>
      <w:t>UKE - Institut für Transfusionsmedizin</w:t>
    </w:r>
    <w:r>
      <w:rPr>
        <w:sz w:val="16"/>
      </w:rPr>
      <w:t xml:space="preserve"> Dok. / [Vers.]: </w:t>
    </w:r>
    <w:r>
      <w:rPr>
        <w:b/>
        <w:sz w:val="16"/>
      </w:rPr>
      <w:fldChar w:fldCharType="begin"/>
    </w:r>
    <w:r>
      <w:rPr>
        <w:b/>
        <w:sz w:val="16"/>
      </w:rPr>
      <w:instrText xml:space="preserve"> DOCPROPERTY "Dokument"  \* MERGEFORMAT </w:instrText>
    </w:r>
    <w:r>
      <w:rPr>
        <w:b/>
        <w:sz w:val="16"/>
      </w:rPr>
      <w:fldChar w:fldCharType="separate"/>
    </w:r>
    <w:r w:rsidR="00120D06">
      <w:rPr>
        <w:b/>
        <w:sz w:val="16"/>
      </w:rPr>
      <w:t>9-58.516.1-0</w:t>
    </w:r>
    <w:r>
      <w:rPr>
        <w:b/>
        <w:sz w:val="16"/>
      </w:rPr>
      <w:fldChar w:fldCharType="end"/>
    </w:r>
    <w:r>
      <w:rPr>
        <w:b/>
        <w:sz w:val="16"/>
      </w:rPr>
      <w:t xml:space="preserve"> / </w:t>
    </w:r>
    <w:r>
      <w:rPr>
        <w:b/>
        <w:sz w:val="16"/>
      </w:rPr>
      <w:fldChar w:fldCharType="begin"/>
    </w:r>
    <w:r>
      <w:rPr>
        <w:b/>
        <w:sz w:val="16"/>
      </w:rPr>
      <w:instrText xml:space="preserve"> DOCPROPERTY "Version"  \* MERGEFORMAT </w:instrText>
    </w:r>
    <w:r>
      <w:rPr>
        <w:b/>
        <w:sz w:val="16"/>
      </w:rPr>
      <w:fldChar w:fldCharType="separate"/>
    </w:r>
    <w:r w:rsidR="00120D06">
      <w:rPr>
        <w:b/>
        <w:sz w:val="16"/>
      </w:rPr>
      <w:t>[003]</w:t>
    </w:r>
    <w:r>
      <w:rPr>
        <w:b/>
        <w:sz w:val="16"/>
      </w:rPr>
      <w:fldChar w:fldCharType="end"/>
    </w:r>
    <w:r>
      <w:rPr>
        <w:sz w:val="16"/>
      </w:rPr>
      <w:t xml:space="preserve">   gültig ab </w:t>
    </w:r>
    <w:r>
      <w:rPr>
        <w:b/>
        <w:sz w:val="16"/>
      </w:rPr>
      <w:fldChar w:fldCharType="begin"/>
    </w:r>
    <w:r>
      <w:rPr>
        <w:b/>
        <w:sz w:val="16"/>
      </w:rPr>
      <w:instrText xml:space="preserve"> DOCPROPERTY "gültig ab"  \* MERGEFORMAT </w:instrText>
    </w:r>
    <w:r>
      <w:rPr>
        <w:b/>
        <w:sz w:val="16"/>
      </w:rPr>
      <w:fldChar w:fldCharType="separate"/>
    </w:r>
    <w:r w:rsidR="00120D06">
      <w:rPr>
        <w:b/>
        <w:sz w:val="16"/>
      </w:rPr>
      <w:t>15.01.2018</w:t>
    </w:r>
    <w:r>
      <w:rPr>
        <w:b/>
        <w:sz w:val="16"/>
      </w:rPr>
      <w:fldChar w:fldCharType="end"/>
    </w:r>
    <w:r>
      <w:rPr>
        <w:sz w:val="16"/>
      </w:rPr>
      <w:t xml:space="preserve"> Seite  </w:t>
    </w:r>
    <w:r>
      <w:rPr>
        <w:rStyle w:val="Seitenzahl"/>
        <w:b/>
        <w:sz w:val="16"/>
      </w:rPr>
      <w:fldChar w:fldCharType="begin"/>
    </w:r>
    <w:r>
      <w:rPr>
        <w:rStyle w:val="Seitenzahl"/>
        <w:b/>
        <w:sz w:val="16"/>
      </w:rPr>
      <w:instrText xml:space="preserve"> PAGE </w:instrText>
    </w:r>
    <w:r>
      <w:rPr>
        <w:rStyle w:val="Seitenzahl"/>
        <w:b/>
        <w:sz w:val="16"/>
      </w:rPr>
      <w:fldChar w:fldCharType="separate"/>
    </w:r>
    <w:r w:rsidR="001A0178">
      <w:rPr>
        <w:rStyle w:val="Seitenzahl"/>
        <w:b/>
        <w:noProof/>
        <w:sz w:val="16"/>
      </w:rPr>
      <w:t>1</w:t>
    </w:r>
    <w:r>
      <w:rPr>
        <w:rStyle w:val="Seitenzahl"/>
        <w:b/>
        <w:sz w:val="16"/>
      </w:rPr>
      <w:fldChar w:fldCharType="end"/>
    </w:r>
    <w:r>
      <w:rPr>
        <w:rStyle w:val="Seitenzahl"/>
        <w:b/>
        <w:sz w:val="16"/>
      </w:rPr>
      <w:t>/</w:t>
    </w:r>
    <w:r>
      <w:rPr>
        <w:rStyle w:val="Seitenzahl"/>
        <w:b/>
        <w:sz w:val="16"/>
      </w:rPr>
      <w:fldChar w:fldCharType="begin"/>
    </w:r>
    <w:r>
      <w:rPr>
        <w:rStyle w:val="Seitenzahl"/>
        <w:b/>
        <w:sz w:val="16"/>
      </w:rPr>
      <w:instrText xml:space="preserve"> = Seitenanzahlgesamt-1</w:instrText>
    </w:r>
    <w:r>
      <w:rPr>
        <w:rStyle w:val="Seitenzahl"/>
        <w:b/>
        <w:sz w:val="16"/>
      </w:rPr>
      <w:fldChar w:fldCharType="separate"/>
    </w:r>
    <w:r w:rsidR="001A0178">
      <w:rPr>
        <w:rStyle w:val="Seitenzahl"/>
        <w:b/>
        <w:noProof/>
        <w:sz w:val="16"/>
      </w:rPr>
      <w:t>5</w:t>
    </w:r>
    <w:r>
      <w:rPr>
        <w:rStyle w:val="Seitenzahl"/>
        <w:b/>
        <w:sz w:val="16"/>
      </w:rPr>
      <w:fldChar w:fldCharType="end"/>
    </w:r>
    <w:r>
      <w:rPr>
        <w:rStyle w:val="Seitenzahl"/>
        <w:b/>
        <w:sz w:val="16"/>
      </w:rPr>
      <w:t xml:space="preserve"> </w:t>
    </w:r>
  </w:p>
  <w:p w:rsidR="0060067B" w:rsidRDefault="0060067B">
    <w:pPr>
      <w:pStyle w:val="Kopfzeil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067B" w:rsidRDefault="001A0178">
    <w:pPr>
      <w:rPr>
        <w:sz w:val="12"/>
      </w:rPr>
    </w:pPr>
    <w:r>
      <w:rPr>
        <w:noProof/>
        <w:sz w:val="12"/>
      </w:rPr>
      <mc:AlternateContent>
        <mc:Choice Requires="wps">
          <w:drawing>
            <wp:anchor distT="0" distB="0" distL="114300" distR="114300" simplePos="0" relativeHeight="251657728" behindDoc="0" locked="0" layoutInCell="0" allowOverlap="1">
              <wp:simplePos x="0" y="0"/>
              <wp:positionH relativeFrom="column">
                <wp:posOffset>4147820</wp:posOffset>
              </wp:positionH>
              <wp:positionV relativeFrom="paragraph">
                <wp:posOffset>90170</wp:posOffset>
              </wp:positionV>
              <wp:extent cx="2174240" cy="42481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4240" cy="4248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0067B" w:rsidRDefault="0060067B">
                          <w:pPr>
                            <w:jc w:val="center"/>
                            <w:rPr>
                              <w:b/>
                            </w:rPr>
                          </w:pPr>
                          <w:r>
                            <w:rPr>
                              <w:b/>
                            </w:rPr>
                            <w:t>Institut für Transfusionsmedizin</w:t>
                          </w:r>
                        </w:p>
                        <w:p w:rsidR="0060067B" w:rsidRDefault="0060067B">
                          <w:pPr>
                            <w:jc w:val="center"/>
                            <w:rPr>
                              <w:sz w:val="18"/>
                            </w:rPr>
                          </w:pPr>
                          <w:r>
                            <w:rPr>
                              <w:sz w:val="18"/>
                            </w:rPr>
                            <w:t>Martinistraße 52, D-20246 Hamburg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326.6pt;margin-top:7.1pt;width:171.2pt;height:33.4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" o:allowincell="f" stroked="f">
              <v:textbox>
                <w:txbxContent>
                  <w:p w:rsidR="0060067B" w:rsidRDefault="0060067B">
                    <w:pPr>
                      <w:jc w:val="center"/>
                      <w:rPr>
                        <w:b/>
                      </w:rPr>
                    </w:pPr>
                    <w:r>
                      <w:rPr>
                        <w:b/>
                      </w:rPr>
                      <w:t>Institut für Transfusionsmedizin</w:t>
                    </w:r>
                  </w:p>
                  <w:p w:rsidR="0060067B" w:rsidRDefault="0060067B">
                    <w:pPr>
                      <w:jc w:val="center"/>
                      <w:rPr>
                        <w:sz w:val="18"/>
                      </w:rPr>
                    </w:pPr>
                    <w:r>
                      <w:rPr>
                        <w:sz w:val="18"/>
                      </w:rPr>
                      <w:t>Martinistraße 52, D-20246 Hamburg</w:t>
                    </w:r>
                  </w:p>
                </w:txbxContent>
              </v:textbox>
            </v:shape>
          </w:pict>
        </mc:Fallback>
      </mc:AlternateContent>
    </w:r>
    <w:r w:rsidRPr="00E30E4A">
      <w:rPr>
        <w:noProof/>
      </w:rPr>
      <w:drawing>
        <wp:inline distT="0" distB="0" distL="0" distR="0">
          <wp:extent cx="714375" cy="762000"/>
          <wp:effectExtent l="0" t="0" r="9525" b="0"/>
          <wp:docPr id="1"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4375" cy="762000"/>
                  </a:xfrm>
                  <a:prstGeom prst="rect">
                    <a:avLst/>
                  </a:prstGeom>
                  <a:noFill/>
                  <a:ln>
                    <a:noFill/>
                  </a:ln>
                </pic:spPr>
              </pic:pic>
            </a:graphicData>
          </a:graphic>
        </wp:inline>
      </w:drawing>
    </w:r>
  </w:p>
  <w:p w:rsidR="0060067B" w:rsidRDefault="0060067B">
    <w:pPr>
      <w:rPr>
        <w:sz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328"/>
      <w:gridCol w:w="3328"/>
      <w:gridCol w:w="3328"/>
    </w:tblGrid>
    <w:tr w:rsidR="0060067B">
      <w:tblPrEx>
        <w:tblCellMar>
          <w:top w:w="0" w:type="dxa"/>
          <w:bottom w:w="0" w:type="dxa"/>
        </w:tblCellMar>
      </w:tblPrEx>
      <w:trPr>
        <w:cantSplit/>
      </w:trPr>
      <w:tc>
        <w:tcPr>
          <w:tcW w:w="3328" w:type="dxa"/>
        </w:tcPr>
        <w:p w:rsidR="0060067B" w:rsidRDefault="0060067B">
          <w:pPr>
            <w:spacing w:before="120" w:after="120"/>
            <w:ind w:left="142"/>
          </w:pPr>
          <w:r>
            <w:t xml:space="preserve">Dok [Vers.]: </w:t>
          </w:r>
          <w:r>
            <w:rPr>
              <w:b/>
            </w:rPr>
            <w:fldChar w:fldCharType="begin"/>
          </w:r>
          <w:r>
            <w:rPr>
              <w:b/>
            </w:rPr>
            <w:instrText xml:space="preserve"> DOCPROPERTY "Dokument"  \* MERGEFORMAT </w:instrText>
          </w:r>
          <w:r>
            <w:rPr>
              <w:b/>
            </w:rPr>
            <w:fldChar w:fldCharType="separate"/>
          </w:r>
          <w:r w:rsidR="00120D06">
            <w:rPr>
              <w:b/>
            </w:rPr>
            <w:t>9-58.516.1-0</w:t>
          </w:r>
          <w:r>
            <w:rPr>
              <w:b/>
            </w:rPr>
            <w:fldChar w:fldCharType="end"/>
          </w:r>
          <w:r>
            <w:rPr>
              <w:b/>
            </w:rPr>
            <w:t xml:space="preserve"> </w:t>
          </w:r>
          <w:r>
            <w:rPr>
              <w:b/>
            </w:rPr>
            <w:fldChar w:fldCharType="begin"/>
          </w:r>
          <w:r>
            <w:rPr>
              <w:b/>
            </w:rPr>
            <w:instrText xml:space="preserve"> DOCPROPERTY "Version"  \* MERGEFORMAT </w:instrText>
          </w:r>
          <w:r>
            <w:rPr>
              <w:b/>
            </w:rPr>
            <w:fldChar w:fldCharType="separate"/>
          </w:r>
          <w:r w:rsidR="00120D06">
            <w:rPr>
              <w:b/>
            </w:rPr>
            <w:t>[003]</w:t>
          </w:r>
          <w:r>
            <w:rPr>
              <w:b/>
            </w:rPr>
            <w:fldChar w:fldCharType="end"/>
          </w:r>
        </w:p>
      </w:tc>
      <w:tc>
        <w:tcPr>
          <w:tcW w:w="3328" w:type="dxa"/>
        </w:tcPr>
        <w:p w:rsidR="0060067B" w:rsidRDefault="0060067B">
          <w:pPr>
            <w:spacing w:before="120" w:after="120"/>
            <w:ind w:left="142"/>
            <w:jc w:val="center"/>
          </w:pPr>
          <w:r>
            <w:t xml:space="preserve">Gültig ab: </w:t>
          </w:r>
          <w:r>
            <w:rPr>
              <w:b/>
            </w:rPr>
            <w:fldChar w:fldCharType="begin"/>
          </w:r>
          <w:r>
            <w:rPr>
              <w:b/>
            </w:rPr>
            <w:instrText xml:space="preserve"> DOCPROPERTY "gültig ab"  \* MERGEFORMAT </w:instrText>
          </w:r>
          <w:r>
            <w:rPr>
              <w:b/>
            </w:rPr>
            <w:fldChar w:fldCharType="separate"/>
          </w:r>
          <w:r w:rsidR="00120D06">
            <w:rPr>
              <w:b/>
            </w:rPr>
            <w:t>15.01.2018</w:t>
          </w:r>
          <w:r>
            <w:rPr>
              <w:b/>
            </w:rPr>
            <w:fldChar w:fldCharType="end"/>
          </w:r>
        </w:p>
      </w:tc>
      <w:tc>
        <w:tcPr>
          <w:tcW w:w="3328" w:type="dxa"/>
        </w:tcPr>
        <w:p w:rsidR="0060067B" w:rsidRDefault="0060067B">
          <w:pPr>
            <w:spacing w:before="60"/>
            <w:ind w:left="142" w:right="62"/>
            <w:jc w:val="right"/>
            <w:rPr>
              <w:b/>
              <w:snapToGrid w:val="0"/>
            </w:rPr>
          </w:pPr>
          <w:r>
            <w:rPr>
              <w:snapToGrid w:val="0"/>
            </w:rPr>
            <w:t xml:space="preserve">Seite: </w:t>
          </w:r>
          <w:r>
            <w:rPr>
              <w:b/>
              <w:snapToGrid w:val="0"/>
            </w:rPr>
            <w:t>Vorblatt</w:t>
          </w:r>
        </w:p>
        <w:bookmarkStart w:id="1" w:name="Seitenanzahlgesamt"/>
        <w:p w:rsidR="0060067B" w:rsidRDefault="0060067B">
          <w:pPr>
            <w:pStyle w:val="StandardBlocksatz"/>
            <w:spacing w:before="120" w:after="120"/>
            <w:ind w:right="62"/>
            <w:jc w:val="right"/>
          </w:pPr>
          <w:r>
            <w:rPr>
              <w:color w:val="FFFFFF"/>
            </w:rPr>
            <w:fldChar w:fldCharType="begin"/>
          </w:r>
          <w:r>
            <w:rPr>
              <w:color w:val="FFFFFF"/>
            </w:rPr>
            <w:instrText xml:space="preserve"> NUMPAGES  \* MERGEFORMAT </w:instrText>
          </w:r>
          <w:r>
            <w:rPr>
              <w:color w:val="FFFFFF"/>
            </w:rPr>
            <w:fldChar w:fldCharType="separate"/>
          </w:r>
          <w:r w:rsidR="001A0178">
            <w:rPr>
              <w:noProof/>
              <w:color w:val="FFFFFF"/>
            </w:rPr>
            <w:t>6</w:t>
          </w:r>
          <w:r>
            <w:rPr>
              <w:color w:val="FFFFFF"/>
            </w:rPr>
            <w:fldChar w:fldCharType="end"/>
          </w:r>
          <w:bookmarkEnd w:id="1"/>
          <w:r>
            <w:t xml:space="preserve">Formularseiten: </w:t>
          </w:r>
          <w:r>
            <w:rPr>
              <w:rStyle w:val="Seitenzahl"/>
              <w:b/>
            </w:rPr>
            <w:fldChar w:fldCharType="begin"/>
          </w:r>
          <w:r>
            <w:rPr>
              <w:rStyle w:val="Seitenzahl"/>
              <w:b/>
            </w:rPr>
            <w:instrText xml:space="preserve"> = Seitenanzahlgesamt-1</w:instrText>
          </w:r>
          <w:r>
            <w:rPr>
              <w:rStyle w:val="Seitenzahl"/>
              <w:b/>
            </w:rPr>
            <w:fldChar w:fldCharType="separate"/>
          </w:r>
          <w:r w:rsidR="001A0178">
            <w:rPr>
              <w:rStyle w:val="Seitenzahl"/>
              <w:b/>
              <w:noProof/>
            </w:rPr>
            <w:t>5</w:t>
          </w:r>
          <w:r>
            <w:rPr>
              <w:rStyle w:val="Seitenzahl"/>
              <w:b/>
            </w:rPr>
            <w:fldChar w:fldCharType="end"/>
          </w:r>
        </w:p>
      </w:tc>
    </w:tr>
  </w:tbl>
  <w:p w:rsidR="0060067B" w:rsidRDefault="0060067B">
    <w:pPr>
      <w:rPr>
        <w:sz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97"/>
      <w:gridCol w:w="2498"/>
      <w:gridCol w:w="2497"/>
      <w:gridCol w:w="2499"/>
    </w:tblGrid>
    <w:tr w:rsidR="0060067B">
      <w:tblPrEx>
        <w:tblCellMar>
          <w:top w:w="0" w:type="dxa"/>
          <w:bottom w:w="0" w:type="dxa"/>
        </w:tblCellMar>
      </w:tblPrEx>
      <w:trPr>
        <w:trHeight w:hRule="exact" w:val="1040"/>
      </w:trPr>
      <w:tc>
        <w:tcPr>
          <w:tcW w:w="2497" w:type="dxa"/>
          <w:tcBorders>
            <w:bottom w:val="nil"/>
          </w:tcBorders>
        </w:tcPr>
        <w:p w:rsidR="0060067B" w:rsidRDefault="0060067B">
          <w:pPr>
            <w:spacing w:before="20"/>
            <w:rPr>
              <w:sz w:val="16"/>
            </w:rPr>
          </w:pPr>
          <w:r>
            <w:rPr>
              <w:sz w:val="16"/>
            </w:rPr>
            <w:t>Verfasst:</w:t>
          </w:r>
        </w:p>
        <w:p w:rsidR="0060067B" w:rsidRDefault="0060067B">
          <w:pPr>
            <w:spacing w:before="120"/>
            <w:rPr>
              <w:sz w:val="16"/>
            </w:rPr>
          </w:pPr>
        </w:p>
        <w:p w:rsidR="0060067B" w:rsidRDefault="0060067B">
          <w:pPr>
            <w:spacing w:before="120"/>
            <w:rPr>
              <w:sz w:val="16"/>
            </w:rPr>
          </w:pPr>
        </w:p>
        <w:p w:rsidR="0060067B" w:rsidRDefault="0060067B">
          <w:pPr>
            <w:spacing w:after="20"/>
            <w:rPr>
              <w:sz w:val="16"/>
            </w:rPr>
          </w:pPr>
          <w:r>
            <w:rPr>
              <w:sz w:val="16"/>
            </w:rPr>
            <w:t>(</w:t>
          </w:r>
          <w:r>
            <w:rPr>
              <w:sz w:val="16"/>
            </w:rPr>
            <w:fldChar w:fldCharType="begin"/>
          </w:r>
          <w:r>
            <w:rPr>
              <w:sz w:val="16"/>
            </w:rPr>
            <w:instrText xml:space="preserve"> DOCPROPERTY "Verfasser"  \* MERGEFORMAT </w:instrText>
          </w:r>
          <w:r>
            <w:rPr>
              <w:sz w:val="16"/>
            </w:rPr>
            <w:fldChar w:fldCharType="separate"/>
          </w:r>
          <w:r w:rsidR="00120D06">
            <w:rPr>
              <w:sz w:val="16"/>
            </w:rPr>
            <w:t>Dr. Bentzien</w:t>
          </w:r>
          <w:r>
            <w:rPr>
              <w:sz w:val="16"/>
            </w:rPr>
            <w:fldChar w:fldCharType="end"/>
          </w:r>
          <w:r>
            <w:rPr>
              <w:sz w:val="16"/>
            </w:rPr>
            <w:t>)</w:t>
          </w:r>
        </w:p>
      </w:tc>
      <w:tc>
        <w:tcPr>
          <w:tcW w:w="2498" w:type="dxa"/>
          <w:tcBorders>
            <w:bottom w:val="nil"/>
          </w:tcBorders>
        </w:tcPr>
        <w:p w:rsidR="0060067B" w:rsidRDefault="0060067B">
          <w:pPr>
            <w:spacing w:before="20"/>
            <w:rPr>
              <w:sz w:val="16"/>
            </w:rPr>
          </w:pPr>
          <w:r>
            <w:rPr>
              <w:sz w:val="16"/>
            </w:rPr>
            <w:t>Genehmigt:</w:t>
          </w:r>
        </w:p>
        <w:p w:rsidR="0060067B" w:rsidRDefault="0060067B">
          <w:pPr>
            <w:spacing w:before="120"/>
            <w:rPr>
              <w:sz w:val="16"/>
            </w:rPr>
          </w:pPr>
        </w:p>
        <w:p w:rsidR="0060067B" w:rsidRDefault="0060067B">
          <w:pPr>
            <w:spacing w:before="120"/>
            <w:rPr>
              <w:sz w:val="16"/>
            </w:rPr>
          </w:pPr>
          <w:r>
            <w:rPr>
              <w:sz w:val="16"/>
            </w:rPr>
            <w:t>Datum:</w:t>
          </w:r>
        </w:p>
        <w:p w:rsidR="0060067B" w:rsidRDefault="0060067B">
          <w:pPr>
            <w:tabs>
              <w:tab w:val="right" w:pos="4734"/>
            </w:tabs>
            <w:spacing w:after="20"/>
            <w:rPr>
              <w:sz w:val="16"/>
            </w:rPr>
          </w:pPr>
          <w:r>
            <w:rPr>
              <w:sz w:val="16"/>
            </w:rPr>
            <w:t>(</w:t>
          </w:r>
          <w:r>
            <w:rPr>
              <w:sz w:val="16"/>
            </w:rPr>
            <w:fldChar w:fldCharType="begin"/>
          </w:r>
          <w:r>
            <w:rPr>
              <w:sz w:val="16"/>
            </w:rPr>
            <w:instrText xml:space="preserve"> DOCPROPERTY "Genehmigt"  \* MERGEFORMAT </w:instrText>
          </w:r>
          <w:r>
            <w:rPr>
              <w:sz w:val="16"/>
            </w:rPr>
            <w:fldChar w:fldCharType="separate"/>
          </w:r>
          <w:r w:rsidR="00120D06">
            <w:rPr>
              <w:sz w:val="16"/>
            </w:rPr>
            <w:t>Dr. Hiller</w:t>
          </w:r>
          <w:r>
            <w:rPr>
              <w:sz w:val="16"/>
            </w:rPr>
            <w:fldChar w:fldCharType="end"/>
          </w:r>
          <w:r>
            <w:rPr>
              <w:sz w:val="16"/>
            </w:rPr>
            <w:t>)</w:t>
          </w:r>
        </w:p>
      </w:tc>
      <w:tc>
        <w:tcPr>
          <w:tcW w:w="2497" w:type="dxa"/>
          <w:tcBorders>
            <w:bottom w:val="nil"/>
          </w:tcBorders>
        </w:tcPr>
        <w:p w:rsidR="0060067B" w:rsidRDefault="0060067B">
          <w:pPr>
            <w:spacing w:before="20"/>
            <w:rPr>
              <w:sz w:val="16"/>
            </w:rPr>
          </w:pPr>
          <w:r>
            <w:rPr>
              <w:sz w:val="16"/>
            </w:rPr>
            <w:t>Freigegeben:</w:t>
          </w:r>
        </w:p>
        <w:p w:rsidR="0060067B" w:rsidRDefault="0060067B">
          <w:pPr>
            <w:spacing w:before="120"/>
            <w:rPr>
              <w:sz w:val="16"/>
            </w:rPr>
          </w:pPr>
        </w:p>
        <w:p w:rsidR="0060067B" w:rsidRDefault="0060067B">
          <w:pPr>
            <w:spacing w:before="120"/>
            <w:rPr>
              <w:sz w:val="16"/>
            </w:rPr>
          </w:pPr>
          <w:r>
            <w:rPr>
              <w:sz w:val="16"/>
            </w:rPr>
            <w:t>Datum:</w:t>
          </w:r>
        </w:p>
        <w:p w:rsidR="0060067B" w:rsidRDefault="0060067B">
          <w:pPr>
            <w:spacing w:before="20"/>
            <w:rPr>
              <w:sz w:val="16"/>
            </w:rPr>
          </w:pPr>
          <w:r>
            <w:rPr>
              <w:sz w:val="16"/>
            </w:rPr>
            <w:t>(</w:t>
          </w:r>
          <w:r>
            <w:rPr>
              <w:sz w:val="16"/>
            </w:rPr>
            <w:fldChar w:fldCharType="begin"/>
          </w:r>
          <w:r>
            <w:rPr>
              <w:sz w:val="16"/>
            </w:rPr>
            <w:instrText xml:space="preserve"> DOCPROPERTY "QM-Beauftragter"  \* MERGEFORMAT </w:instrText>
          </w:r>
          <w:r>
            <w:rPr>
              <w:sz w:val="16"/>
            </w:rPr>
            <w:fldChar w:fldCharType="separate"/>
          </w:r>
          <w:r w:rsidR="00120D06">
            <w:rPr>
              <w:sz w:val="16"/>
            </w:rPr>
            <w:t>Fr. Dr. Denzer</w:t>
          </w:r>
          <w:r>
            <w:rPr>
              <w:sz w:val="16"/>
            </w:rPr>
            <w:fldChar w:fldCharType="end"/>
          </w:r>
          <w:r>
            <w:rPr>
              <w:sz w:val="16"/>
            </w:rPr>
            <w:t>)</w:t>
          </w:r>
        </w:p>
      </w:tc>
      <w:tc>
        <w:tcPr>
          <w:tcW w:w="2498" w:type="dxa"/>
          <w:tcBorders>
            <w:bottom w:val="nil"/>
          </w:tcBorders>
        </w:tcPr>
        <w:p w:rsidR="0060067B" w:rsidRDefault="0060067B">
          <w:pPr>
            <w:spacing w:before="20"/>
            <w:rPr>
              <w:sz w:val="16"/>
            </w:rPr>
          </w:pPr>
          <w:r>
            <w:rPr>
              <w:sz w:val="16"/>
            </w:rPr>
            <w:t>In Kraft gesetzt:</w:t>
          </w:r>
        </w:p>
        <w:p w:rsidR="0060067B" w:rsidRDefault="0060067B">
          <w:pPr>
            <w:spacing w:before="120"/>
            <w:rPr>
              <w:sz w:val="16"/>
            </w:rPr>
          </w:pPr>
        </w:p>
        <w:p w:rsidR="0060067B" w:rsidRDefault="0060067B">
          <w:pPr>
            <w:spacing w:before="120"/>
            <w:rPr>
              <w:sz w:val="16"/>
            </w:rPr>
          </w:pPr>
          <w:r>
            <w:rPr>
              <w:sz w:val="16"/>
            </w:rPr>
            <w:t>Datum:</w:t>
          </w:r>
        </w:p>
        <w:p w:rsidR="0060067B" w:rsidRDefault="0060067B">
          <w:pPr>
            <w:tabs>
              <w:tab w:val="right" w:pos="4751"/>
            </w:tabs>
            <w:spacing w:after="20"/>
            <w:rPr>
              <w:sz w:val="12"/>
            </w:rPr>
          </w:pPr>
          <w:r>
            <w:rPr>
              <w:sz w:val="16"/>
            </w:rPr>
            <w:t>(</w:t>
          </w:r>
          <w:r w:rsidR="00EF5A8B">
            <w:rPr>
              <w:sz w:val="16"/>
            </w:rPr>
            <w:t>Dr. Peine, Inst.-Leite</w:t>
          </w:r>
          <w:r>
            <w:rPr>
              <w:sz w:val="16"/>
            </w:rPr>
            <w:t>r)</w:t>
          </w:r>
          <w:r>
            <w:rPr>
              <w:sz w:val="16"/>
            </w:rPr>
            <w:tab/>
            <w:t>(Prof. Kühnl, Inst.-Direktor)</w:t>
          </w:r>
        </w:p>
      </w:tc>
    </w:tr>
    <w:tr w:rsidR="0060067B">
      <w:tblPrEx>
        <w:tblCellMar>
          <w:top w:w="0" w:type="dxa"/>
          <w:bottom w:w="0" w:type="dxa"/>
        </w:tblCellMar>
      </w:tblPrEx>
      <w:trPr>
        <w:cantSplit/>
      </w:trPr>
      <w:tc>
        <w:tcPr>
          <w:tcW w:w="9991" w:type="dxa"/>
          <w:gridSpan w:val="4"/>
          <w:tcBorders>
            <w:left w:val="nil"/>
            <w:right w:val="nil"/>
          </w:tcBorders>
        </w:tcPr>
        <w:p w:rsidR="0060067B" w:rsidRDefault="0060067B">
          <w:pPr>
            <w:pStyle w:val="Titel"/>
          </w:pPr>
          <w:fldSimple w:instr=" DOCPROPERTY &quot;Title&quot;  \* MERGEFORMAT ">
            <w:r w:rsidR="00120D06">
              <w:t>VVD - Gebrauchs- und Fachinformation: TKSF PAS (UKE) bestrahlt</w:t>
            </w:r>
          </w:fldSimple>
        </w:p>
      </w:tc>
    </w:tr>
  </w:tbl>
  <w:p w:rsidR="0060067B" w:rsidRDefault="0060067B">
    <w:pPr>
      <w:rPr>
        <w:sz w:val="12"/>
      </w:rPr>
    </w:pPr>
  </w:p>
  <w:p w:rsidR="0060067B" w:rsidRDefault="0060067B"/>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FFFFFFFF"/>
    <w:lvl w:ilvl="0">
      <w:numFmt w:val="decimal"/>
      <w:lvlText w:val="*"/>
      <w:lvlJc w:val="left"/>
    </w:lvl>
  </w:abstractNum>
  <w:num w:numId="1">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3700"/>
    <w:rsid w:val="00003AF7"/>
    <w:rsid w:val="0001708F"/>
    <w:rsid w:val="000E2625"/>
    <w:rsid w:val="00120D06"/>
    <w:rsid w:val="001A0178"/>
    <w:rsid w:val="001F1A33"/>
    <w:rsid w:val="003123E4"/>
    <w:rsid w:val="00373700"/>
    <w:rsid w:val="00380D76"/>
    <w:rsid w:val="00383872"/>
    <w:rsid w:val="003D0462"/>
    <w:rsid w:val="00530BE8"/>
    <w:rsid w:val="0060067B"/>
    <w:rsid w:val="006A7628"/>
    <w:rsid w:val="007A7811"/>
    <w:rsid w:val="00916CBF"/>
    <w:rsid w:val="00A44E02"/>
    <w:rsid w:val="00A858CF"/>
    <w:rsid w:val="00C70872"/>
    <w:rsid w:val="00C729CC"/>
    <w:rsid w:val="00CC1E9A"/>
    <w:rsid w:val="00D022CB"/>
    <w:rsid w:val="00D25391"/>
    <w:rsid w:val="00D9697C"/>
    <w:rsid w:val="00DC0FB9"/>
    <w:rsid w:val="00E76B63"/>
    <w:rsid w:val="00EF5A8B"/>
    <w:rsid w:val="00F20BF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hapeDefaults>
    <o:shapedefaults v:ext="edit" spidmax="3074"/>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next w:val="StandardBlocksatz"/>
    <w:qFormat/>
    <w:rPr>
      <w:rFonts w:ascii="Arial" w:hAnsi="Arial"/>
    </w:rPr>
  </w:style>
  <w:style w:type="paragraph" w:styleId="berschrift1">
    <w:name w:val="heading 1"/>
    <w:basedOn w:val="StandardBlocksatz"/>
    <w:next w:val="StandardBlocksatz"/>
    <w:qFormat/>
    <w:pPr>
      <w:keepNext/>
      <w:spacing w:before="240" w:after="120"/>
      <w:outlineLvl w:val="0"/>
    </w:pPr>
    <w:rPr>
      <w:b/>
      <w:caps/>
      <w:kern w:val="28"/>
      <w:sz w:val="22"/>
    </w:rPr>
  </w:style>
  <w:style w:type="paragraph" w:styleId="berschrift2">
    <w:name w:val="heading 2"/>
    <w:basedOn w:val="StandardBlocksatz"/>
    <w:next w:val="StandardBlocksatz"/>
    <w:qFormat/>
    <w:pPr>
      <w:keepNext/>
      <w:spacing w:before="240" w:after="120"/>
      <w:outlineLvl w:val="1"/>
    </w:pPr>
    <w:rPr>
      <w:b/>
      <w:sz w:val="22"/>
    </w:rPr>
  </w:style>
  <w:style w:type="paragraph" w:styleId="berschrift3">
    <w:name w:val="heading 3"/>
    <w:basedOn w:val="StandardBlocksatz"/>
    <w:next w:val="StandardBlocksatz"/>
    <w:qFormat/>
    <w:pPr>
      <w:keepNext/>
      <w:spacing w:before="120" w:after="60"/>
      <w:outlineLvl w:val="2"/>
    </w:pPr>
    <w:rPr>
      <w:b/>
    </w:rPr>
  </w:style>
  <w:style w:type="paragraph" w:styleId="berschrift4">
    <w:name w:val="heading 4"/>
    <w:basedOn w:val="StandardBlocksatz"/>
    <w:next w:val="StandardBlocksatz"/>
    <w:qFormat/>
    <w:pPr>
      <w:keepNext/>
      <w:spacing w:before="120" w:after="60"/>
      <w:outlineLvl w:val="3"/>
    </w:pPr>
    <w:rPr>
      <w:i/>
    </w:rPr>
  </w:style>
  <w:style w:type="paragraph" w:styleId="berschrift5">
    <w:name w:val="heading 5"/>
    <w:basedOn w:val="StandardBlocksatz"/>
    <w:next w:val="StandardBlocksatz"/>
    <w:qFormat/>
    <w:pPr>
      <w:spacing w:before="120" w:after="60"/>
      <w:outlineLvl w:val="4"/>
    </w:pPr>
  </w:style>
  <w:style w:type="character" w:default="1" w:styleId="Absatz-Standardschriftart">
    <w:name w:val="Default Paragraph Font"/>
    <w:semiHidden/>
  </w:style>
  <w:style w:type="table" w:default="1" w:styleId="NormaleTabelle">
    <w:name w:val="Normal Table"/>
    <w:semiHidden/>
    <w:tblPr>
      <w:tblInd w:w="0" w:type="dxa"/>
      <w:tblCellMar>
        <w:top w:w="0" w:type="dxa"/>
        <w:left w:w="108" w:type="dxa"/>
        <w:bottom w:w="0" w:type="dxa"/>
        <w:right w:w="108" w:type="dxa"/>
      </w:tblCellMar>
    </w:tblPr>
  </w:style>
  <w:style w:type="numbering" w:default="1" w:styleId="KeineListe">
    <w:name w:val="No List"/>
    <w:semiHidden/>
  </w:style>
  <w:style w:type="paragraph" w:styleId="Kopfzeile">
    <w:name w:val="header"/>
    <w:basedOn w:val="StandardBlocksatz"/>
    <w:pPr>
      <w:tabs>
        <w:tab w:val="center" w:pos="4536"/>
        <w:tab w:val="right" w:pos="9072"/>
      </w:tabs>
    </w:pPr>
  </w:style>
  <w:style w:type="paragraph" w:styleId="Fuzeile">
    <w:name w:val="footer"/>
    <w:basedOn w:val="StandardBlocksatz"/>
    <w:pPr>
      <w:tabs>
        <w:tab w:val="center" w:pos="4536"/>
        <w:tab w:val="right" w:pos="9072"/>
      </w:tabs>
    </w:pPr>
  </w:style>
  <w:style w:type="paragraph" w:styleId="Titel">
    <w:name w:val="Title"/>
    <w:basedOn w:val="StandardBlocksatz"/>
    <w:qFormat/>
    <w:pPr>
      <w:spacing w:before="120" w:after="120"/>
      <w:jc w:val="center"/>
      <w:outlineLvl w:val="0"/>
    </w:pPr>
    <w:rPr>
      <w:b/>
      <w:kern w:val="28"/>
      <w:sz w:val="24"/>
    </w:rPr>
  </w:style>
  <w:style w:type="paragraph" w:customStyle="1" w:styleId="StandardBlocksatz">
    <w:name w:val="Standard Blocksatz"/>
    <w:basedOn w:val="Standard"/>
    <w:pPr>
      <w:jc w:val="both"/>
    </w:pPr>
  </w:style>
  <w:style w:type="character" w:styleId="Seitenzahl">
    <w:name w:val="page number"/>
    <w:basedOn w:val="Absatz-Standardschriftart"/>
  </w:style>
  <w:style w:type="paragraph" w:styleId="Dokumentstruktur">
    <w:name w:val="Document Map"/>
    <w:basedOn w:val="Standard"/>
    <w:semiHidden/>
    <w:pPr>
      <w:shd w:val="clear" w:color="auto" w:fill="000080"/>
    </w:pPr>
    <w:rPr>
      <w:rFonts w:ascii="Tahoma" w:hAnsi="Tahoma"/>
    </w:rPr>
  </w:style>
  <w:style w:type="paragraph" w:styleId="Sprechblasentext">
    <w:name w:val="Balloon Text"/>
    <w:basedOn w:val="Standard"/>
    <w:link w:val="SprechblasentextZchn"/>
    <w:rsid w:val="007A7811"/>
    <w:rPr>
      <w:rFonts w:ascii="Segoe UI" w:hAnsi="Segoe UI" w:cs="Segoe UI"/>
      <w:sz w:val="18"/>
      <w:szCs w:val="18"/>
    </w:rPr>
  </w:style>
  <w:style w:type="character" w:customStyle="1" w:styleId="SprechblasentextZchn">
    <w:name w:val="Sprechblasentext Zchn"/>
    <w:link w:val="Sprechblasentext"/>
    <w:rsid w:val="007A7811"/>
    <w:rPr>
      <w:rFonts w:ascii="Segoe UI" w:hAnsi="Segoe UI" w:cs="Segoe UI"/>
      <w:sz w:val="18"/>
      <w:szCs w:val="18"/>
    </w:rPr>
  </w:style>
  <w:style w:type="paragraph" w:styleId="Textkrper">
    <w:name w:val="Body Text"/>
    <w:basedOn w:val="Standard"/>
    <w:link w:val="TextkrperZchn"/>
    <w:rsid w:val="00120D06"/>
    <w:pPr>
      <w:tabs>
        <w:tab w:val="left" w:pos="567"/>
        <w:tab w:val="left" w:pos="1134"/>
        <w:tab w:val="left" w:pos="2268"/>
        <w:tab w:val="left" w:pos="3402"/>
        <w:tab w:val="left" w:pos="4536"/>
        <w:tab w:val="left" w:pos="5670"/>
        <w:tab w:val="left" w:pos="6804"/>
        <w:tab w:val="left" w:pos="7938"/>
      </w:tabs>
      <w:jc w:val="both"/>
    </w:pPr>
    <w:rPr>
      <w:rFonts w:cs="Arial"/>
      <w:sz w:val="24"/>
      <w:szCs w:val="24"/>
    </w:rPr>
  </w:style>
  <w:style w:type="character" w:customStyle="1" w:styleId="TextkrperZchn">
    <w:name w:val="Textkörper Zchn"/>
    <w:link w:val="Textkrper"/>
    <w:rsid w:val="00120D06"/>
    <w:rPr>
      <w:rFonts w:ascii="Arial" w:hAnsi="Arial" w:cs="Arial"/>
      <w:sz w:val="24"/>
      <w:szCs w:val="24"/>
    </w:rPr>
  </w:style>
  <w:style w:type="paragraph" w:styleId="Textkrper2">
    <w:name w:val="Body Text 2"/>
    <w:basedOn w:val="Standard"/>
    <w:link w:val="Textkrper2Zchn"/>
    <w:rsid w:val="00120D06"/>
    <w:pPr>
      <w:tabs>
        <w:tab w:val="left" w:pos="567"/>
        <w:tab w:val="left" w:pos="1134"/>
        <w:tab w:val="left" w:pos="2268"/>
        <w:tab w:val="left" w:pos="3402"/>
        <w:tab w:val="left" w:pos="4536"/>
        <w:tab w:val="left" w:pos="5670"/>
        <w:tab w:val="left" w:pos="6804"/>
        <w:tab w:val="left" w:pos="7938"/>
      </w:tabs>
      <w:jc w:val="both"/>
    </w:pPr>
    <w:rPr>
      <w:b/>
      <w:sz w:val="24"/>
    </w:rPr>
  </w:style>
  <w:style w:type="character" w:customStyle="1" w:styleId="Textkrper2Zchn">
    <w:name w:val="Textkörper 2 Zchn"/>
    <w:link w:val="Textkrper2"/>
    <w:rsid w:val="00120D06"/>
    <w:rPr>
      <w:rFonts w:ascii="Arial" w:hAnsi="Arial"/>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VVD Vorlage 3-6-3[N03]Rev3</Template>
  <TotalTime>0</TotalTime>
  <Pages>5</Pages>
  <Words>2154</Words>
  <Characters>13572</Characters>
  <Application>Microsoft Office Word</Application>
  <DocSecurity>0</DocSecurity>
  <Lines>113</Lines>
  <Paragraphs>31</Paragraphs>
  <ScaleCrop>false</ScaleCrop>
  <HeadingPairs>
    <vt:vector size="2" baseType="variant">
      <vt:variant>
        <vt:lpstr>Titel</vt:lpstr>
      </vt:variant>
      <vt:variant>
        <vt:i4>1</vt:i4>
      </vt:variant>
    </vt:vector>
  </HeadingPairs>
  <TitlesOfParts>
    <vt:vector size="1" baseType="lpstr">
      <vt:lpstr>VVD - Gebrauchs- und Fachinformation: TKSF PAS (UKE) bestrahlt</vt:lpstr>
    </vt:vector>
  </TitlesOfParts>
  <Company/>
  <LinksUpToDate>false</LinksUpToDate>
  <CharactersWithSpaces>15695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VVD - Gebrauchs- und Fachinformation: TKSF PAS (UKE) bestrahlt</dc:title>
  <dc:subject/>
  <dc:creator>Geffken, Maria</dc:creator>
  <cp:keywords/>
  <dc:description>basiert auf SOP 4.01.01 Anlage 02 Version 02</dc:description>
  <cp:lastModifiedBy>Hiller, Andrea</cp:lastModifiedBy>
  <cp:revision>2</cp:revision>
  <cp:lastPrinted>2017-12-20T11:36:00Z</cp:lastPrinted>
  <dcterms:created xsi:type="dcterms:W3CDTF">2020-01-28T07:13:00Z</dcterms:created>
  <dcterms:modified xsi:type="dcterms:W3CDTF">2020-01-28T07:13:00Z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ersion">
    <vt:lpwstr>[004]</vt:lpwstr>
  </property>
  <property fmtid="{D5CDD505-2E9C-101B-9397-08002B2CF9AE}" pid="3" name="gültig ab">
    <vt:lpwstr>15.03.2018</vt:lpwstr>
  </property>
  <property fmtid="{D5CDD505-2E9C-101B-9397-08002B2CF9AE}" pid="4" name="Dokument">
    <vt:lpwstr>9-58.516.1-0</vt:lpwstr>
  </property>
  <property fmtid="{D5CDD505-2E9C-101B-9397-08002B2CF9AE}" pid="5" name="Verfasser">
    <vt:lpwstr>Dr. Bentzien</vt:lpwstr>
  </property>
  <property fmtid="{D5CDD505-2E9C-101B-9397-08002B2CF9AE}" pid="6" name="Genehmigt">
    <vt:lpwstr>Dr. Hiller</vt:lpwstr>
  </property>
  <property fmtid="{D5CDD505-2E9C-101B-9397-08002B2CF9AE}" pid="7" name="QM-Beauftragter">
    <vt:lpwstr>Fr. Dr. Denzer</vt:lpwstr>
  </property>
</Properties>
</file>