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52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67"/>
        <w:gridCol w:w="9285"/>
      </w:tblGrid>
      <w:tr w:rsidR="00561F3B" w:rsidTr="009E69E2">
        <w:tblPrEx>
          <w:tblCellMar>
            <w:top w:w="0" w:type="dxa"/>
            <w:bottom w:w="0" w:type="dxa"/>
          </w:tblCellMar>
        </w:tblPrEx>
        <w:tc>
          <w:tcPr>
            <w:tcW w:w="9852" w:type="dxa"/>
            <w:gridSpan w:val="2"/>
          </w:tcPr>
          <w:p w:rsidR="00561F3B" w:rsidRDefault="00561F3B" w:rsidP="009E69E2">
            <w:pPr>
              <w:pStyle w:val="berschrift1"/>
              <w:jc w:val="center"/>
            </w:pPr>
            <w:bookmarkStart w:id="0" w:name="_GoBack"/>
            <w:bookmarkEnd w:id="0"/>
            <w:r>
              <w:t>Gebrauchsinformation und Fachinformation</w:t>
            </w:r>
          </w:p>
          <w:p w:rsidR="00561F3B" w:rsidRPr="001D0199" w:rsidRDefault="00561F3B" w:rsidP="009E69E2">
            <w:pPr>
              <w:pStyle w:val="StandardBlocksatz"/>
            </w:pPr>
          </w:p>
        </w:tc>
      </w:tr>
      <w:tr w:rsidR="00561F3B" w:rsidTr="009E69E2">
        <w:tblPrEx>
          <w:tblCellMar>
            <w:top w:w="0" w:type="dxa"/>
            <w:bottom w:w="0" w:type="dxa"/>
          </w:tblCellMar>
        </w:tblPrEx>
        <w:tc>
          <w:tcPr>
            <w:tcW w:w="9852" w:type="dxa"/>
            <w:gridSpan w:val="2"/>
          </w:tcPr>
          <w:p w:rsidR="00561F3B" w:rsidRDefault="00561F3B" w:rsidP="009E69E2">
            <w:pPr>
              <w:jc w:val="center"/>
              <w:rPr>
                <w:b/>
                <w:bCs/>
              </w:rPr>
            </w:pPr>
            <w:r w:rsidRPr="001D0199">
              <w:rPr>
                <w:b/>
                <w:bCs/>
              </w:rPr>
              <w:t>Gefrorenes Frischplasma aus Apherese</w:t>
            </w:r>
          </w:p>
          <w:p w:rsidR="00561F3B" w:rsidRPr="001D0199" w:rsidRDefault="00561F3B" w:rsidP="009E69E2">
            <w:pPr>
              <w:pStyle w:val="StandardBlocksatz"/>
            </w:pPr>
          </w:p>
        </w:tc>
      </w:tr>
      <w:tr w:rsidR="00561F3B" w:rsidRPr="00D67596" w:rsidTr="009E69E2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561F3B" w:rsidRPr="001D0199" w:rsidRDefault="00561F3B" w:rsidP="009E69E2">
            <w:pPr>
              <w:jc w:val="both"/>
              <w:rPr>
                <w:rFonts w:cs="Arial"/>
                <w:b/>
              </w:rPr>
            </w:pPr>
            <w:r w:rsidRPr="001D0199">
              <w:rPr>
                <w:rFonts w:cs="Arial"/>
                <w:b/>
              </w:rPr>
              <w:t>1.</w:t>
            </w:r>
          </w:p>
        </w:tc>
        <w:tc>
          <w:tcPr>
            <w:tcW w:w="9285" w:type="dxa"/>
          </w:tcPr>
          <w:p w:rsidR="00561F3B" w:rsidRPr="001D0199" w:rsidRDefault="00561F3B" w:rsidP="009E69E2">
            <w:pPr>
              <w:jc w:val="both"/>
              <w:rPr>
                <w:rFonts w:cs="Arial"/>
                <w:b/>
              </w:rPr>
            </w:pPr>
            <w:r w:rsidRPr="001D0199">
              <w:rPr>
                <w:rFonts w:cs="Arial"/>
                <w:b/>
              </w:rPr>
              <w:t>Identifizierung des Arzneimittels</w:t>
            </w:r>
          </w:p>
          <w:p w:rsidR="00561F3B" w:rsidRPr="001D0199" w:rsidRDefault="00561F3B" w:rsidP="009E69E2">
            <w:pPr>
              <w:jc w:val="both"/>
              <w:rPr>
                <w:rFonts w:cs="Arial"/>
                <w:b/>
              </w:rPr>
            </w:pPr>
            <w:r w:rsidRPr="001D0199">
              <w:rPr>
                <w:rFonts w:cs="Arial"/>
                <w:b/>
              </w:rPr>
              <w:t>a) Bezeichnung</w:t>
            </w:r>
          </w:p>
          <w:p w:rsidR="00561F3B" w:rsidRPr="001D0199" w:rsidRDefault="00561F3B" w:rsidP="009E69E2">
            <w:pPr>
              <w:jc w:val="both"/>
              <w:rPr>
                <w:rFonts w:cs="Arial"/>
              </w:rPr>
            </w:pPr>
            <w:r w:rsidRPr="001D0199">
              <w:rPr>
                <w:rFonts w:cs="Arial"/>
              </w:rPr>
              <w:t>GFPQ Citrat (UKE)</w:t>
            </w:r>
          </w:p>
          <w:p w:rsidR="00561F3B" w:rsidRPr="001D0199" w:rsidRDefault="00561F3B" w:rsidP="009E69E2">
            <w:pPr>
              <w:jc w:val="both"/>
              <w:rPr>
                <w:rFonts w:cs="Arial"/>
              </w:rPr>
            </w:pPr>
            <w:r w:rsidRPr="001D0199">
              <w:rPr>
                <w:rFonts w:cs="Arial"/>
              </w:rPr>
              <w:t xml:space="preserve"> </w:t>
            </w:r>
          </w:p>
        </w:tc>
      </w:tr>
      <w:tr w:rsidR="00561F3B" w:rsidRPr="00D67596" w:rsidTr="009E69E2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561F3B" w:rsidRPr="001D0199" w:rsidRDefault="00561F3B" w:rsidP="009E69E2">
            <w:pPr>
              <w:jc w:val="both"/>
              <w:rPr>
                <w:rFonts w:cs="Arial"/>
              </w:rPr>
            </w:pPr>
          </w:p>
        </w:tc>
        <w:tc>
          <w:tcPr>
            <w:tcW w:w="9285" w:type="dxa"/>
          </w:tcPr>
          <w:p w:rsidR="00561F3B" w:rsidRPr="001D0199" w:rsidRDefault="00561F3B" w:rsidP="009E69E2">
            <w:pPr>
              <w:jc w:val="both"/>
              <w:rPr>
                <w:rFonts w:cs="Arial"/>
                <w:b/>
              </w:rPr>
            </w:pPr>
            <w:r w:rsidRPr="001D0199">
              <w:rPr>
                <w:rFonts w:cs="Arial"/>
                <w:b/>
              </w:rPr>
              <w:t xml:space="preserve">b) Stoffgruppe </w:t>
            </w:r>
          </w:p>
          <w:p w:rsidR="00561F3B" w:rsidRPr="001D0199" w:rsidRDefault="00561F3B" w:rsidP="009E69E2">
            <w:pPr>
              <w:jc w:val="both"/>
              <w:rPr>
                <w:rFonts w:cs="Arial"/>
              </w:rPr>
            </w:pPr>
            <w:r w:rsidRPr="001D0199">
              <w:rPr>
                <w:rFonts w:cs="Arial"/>
              </w:rPr>
              <w:t>Blutzubereitung, Plasma zur Transfusion</w:t>
            </w:r>
          </w:p>
          <w:p w:rsidR="00561F3B" w:rsidRPr="001D0199" w:rsidRDefault="00561F3B" w:rsidP="009E69E2">
            <w:pPr>
              <w:jc w:val="both"/>
              <w:rPr>
                <w:rFonts w:cs="Arial"/>
              </w:rPr>
            </w:pPr>
          </w:p>
        </w:tc>
      </w:tr>
      <w:tr w:rsidR="00561F3B" w:rsidRPr="00D67596" w:rsidTr="009E69E2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561F3B" w:rsidRPr="001D0199" w:rsidRDefault="00561F3B" w:rsidP="009E69E2">
            <w:pPr>
              <w:jc w:val="both"/>
              <w:rPr>
                <w:rFonts w:cs="Arial"/>
                <w:b/>
              </w:rPr>
            </w:pPr>
            <w:r w:rsidRPr="001D0199">
              <w:rPr>
                <w:rFonts w:cs="Arial"/>
                <w:b/>
              </w:rPr>
              <w:t>2.</w:t>
            </w:r>
          </w:p>
        </w:tc>
        <w:tc>
          <w:tcPr>
            <w:tcW w:w="9285" w:type="dxa"/>
          </w:tcPr>
          <w:p w:rsidR="00561F3B" w:rsidRPr="001D0199" w:rsidRDefault="00561F3B" w:rsidP="009E69E2">
            <w:pPr>
              <w:jc w:val="both"/>
              <w:rPr>
                <w:rFonts w:cs="Arial"/>
                <w:b/>
              </w:rPr>
            </w:pPr>
            <w:r w:rsidRPr="001D0199">
              <w:rPr>
                <w:rFonts w:cs="Arial"/>
                <w:b/>
              </w:rPr>
              <w:t>Anwendungsgebiete</w:t>
            </w:r>
          </w:p>
          <w:p w:rsidR="00561F3B" w:rsidRPr="001D0199" w:rsidRDefault="00561F3B" w:rsidP="00561F3B">
            <w:pPr>
              <w:numPr>
                <w:ilvl w:val="0"/>
                <w:numId w:val="1"/>
              </w:numPr>
              <w:tabs>
                <w:tab w:val="left" w:pos="567"/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</w:tabs>
              <w:jc w:val="both"/>
              <w:rPr>
                <w:rFonts w:cs="Arial"/>
                <w:b/>
              </w:rPr>
            </w:pPr>
            <w:r w:rsidRPr="001D0199">
              <w:rPr>
                <w:rFonts w:cs="Arial"/>
              </w:rPr>
              <w:t>Notfallsubstitution einer klinisch relevanten Blutungsneigung oder einer manife</w:t>
            </w:r>
            <w:r w:rsidRPr="001D0199">
              <w:rPr>
                <w:rFonts w:cs="Arial"/>
              </w:rPr>
              <w:t>s</w:t>
            </w:r>
            <w:r w:rsidRPr="001D0199">
              <w:rPr>
                <w:rFonts w:cs="Arial"/>
              </w:rPr>
              <w:t>ten Blutung bei komplexen Störungen des Hämostasesystems, besonders bei schw</w:t>
            </w:r>
            <w:r w:rsidRPr="001D0199">
              <w:rPr>
                <w:rFonts w:cs="Arial"/>
              </w:rPr>
              <w:t>e</w:t>
            </w:r>
            <w:r w:rsidRPr="001D0199">
              <w:rPr>
                <w:rFonts w:cs="Arial"/>
              </w:rPr>
              <w:t>rem Leberparenchymschaden oder im Rahmen einer disseminierten intrav</w:t>
            </w:r>
            <w:r w:rsidRPr="001D0199">
              <w:rPr>
                <w:rFonts w:cs="Arial"/>
              </w:rPr>
              <w:t>a</w:t>
            </w:r>
            <w:r w:rsidRPr="001D0199">
              <w:rPr>
                <w:rFonts w:cs="Arial"/>
              </w:rPr>
              <w:t>salen Gerinnung (DIC). In jedem Fall hat die Behandlung der ursächlichen Krankheit Pr</w:t>
            </w:r>
            <w:r w:rsidRPr="001D0199">
              <w:rPr>
                <w:rFonts w:cs="Arial"/>
              </w:rPr>
              <w:t>i</w:t>
            </w:r>
            <w:r w:rsidRPr="001D0199">
              <w:rPr>
                <w:rFonts w:cs="Arial"/>
              </w:rPr>
              <w:t>orität. Da eine DIC immer eine Komplikation einer schweren Grunderkrankung (z.B. Sepsis, Schock, Polytrauma) darstellt, sollte GFP nicht ohne Behan</w:t>
            </w:r>
            <w:r w:rsidRPr="001D0199">
              <w:rPr>
                <w:rFonts w:cs="Arial"/>
              </w:rPr>
              <w:t>d</w:t>
            </w:r>
            <w:r w:rsidRPr="001D0199">
              <w:rPr>
                <w:rFonts w:cs="Arial"/>
              </w:rPr>
              <w:t>lung der zugrunde liegenden Pathomechanismen verabreicht werden.</w:t>
            </w:r>
          </w:p>
          <w:p w:rsidR="00561F3B" w:rsidRPr="001D0199" w:rsidRDefault="00561F3B" w:rsidP="00561F3B">
            <w:pPr>
              <w:numPr>
                <w:ilvl w:val="0"/>
                <w:numId w:val="1"/>
              </w:numPr>
              <w:tabs>
                <w:tab w:val="left" w:pos="567"/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</w:tabs>
              <w:jc w:val="both"/>
              <w:rPr>
                <w:rFonts w:cs="Arial"/>
                <w:b/>
              </w:rPr>
            </w:pPr>
            <w:r w:rsidRPr="001D0199">
              <w:rPr>
                <w:rFonts w:cs="Arial"/>
              </w:rPr>
              <w:t>Verdünnungs- und/oder Verlustkoagulopathien</w:t>
            </w:r>
          </w:p>
          <w:p w:rsidR="00561F3B" w:rsidRPr="001D0199" w:rsidRDefault="00561F3B" w:rsidP="00561F3B">
            <w:pPr>
              <w:numPr>
                <w:ilvl w:val="0"/>
                <w:numId w:val="1"/>
              </w:numPr>
              <w:tabs>
                <w:tab w:val="left" w:pos="567"/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</w:tabs>
              <w:jc w:val="both"/>
              <w:rPr>
                <w:rFonts w:cs="Arial"/>
                <w:b/>
              </w:rPr>
            </w:pPr>
            <w:r w:rsidRPr="001D0199">
              <w:rPr>
                <w:rFonts w:cs="Arial"/>
              </w:rPr>
              <w:t>Substitution bei Faktor V – und / oder Faktor XI - Mangel</w:t>
            </w:r>
          </w:p>
          <w:p w:rsidR="00561F3B" w:rsidRPr="001D0199" w:rsidRDefault="00561F3B" w:rsidP="00561F3B">
            <w:pPr>
              <w:numPr>
                <w:ilvl w:val="0"/>
                <w:numId w:val="1"/>
              </w:numPr>
              <w:tabs>
                <w:tab w:val="left" w:pos="567"/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</w:tabs>
              <w:jc w:val="both"/>
              <w:rPr>
                <w:rFonts w:cs="Arial"/>
              </w:rPr>
            </w:pPr>
            <w:r w:rsidRPr="001D0199">
              <w:rPr>
                <w:rFonts w:cs="Arial"/>
              </w:rPr>
              <w:t>Thrombotisch-thrombozytopenische Purpura</w:t>
            </w:r>
          </w:p>
          <w:p w:rsidR="00561F3B" w:rsidRPr="001D0199" w:rsidRDefault="00561F3B" w:rsidP="00561F3B">
            <w:pPr>
              <w:numPr>
                <w:ilvl w:val="0"/>
                <w:numId w:val="1"/>
              </w:numPr>
              <w:tabs>
                <w:tab w:val="left" w:pos="567"/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</w:tabs>
              <w:jc w:val="both"/>
              <w:rPr>
                <w:rFonts w:cs="Arial"/>
              </w:rPr>
            </w:pPr>
            <w:r w:rsidRPr="001D0199">
              <w:rPr>
                <w:rFonts w:cs="Arial"/>
              </w:rPr>
              <w:t>Austauschtransfusion</w:t>
            </w:r>
          </w:p>
          <w:p w:rsidR="00561F3B" w:rsidRPr="001D0199" w:rsidRDefault="00561F3B" w:rsidP="009E69E2">
            <w:pPr>
              <w:jc w:val="both"/>
              <w:rPr>
                <w:rFonts w:cs="Arial"/>
              </w:rPr>
            </w:pPr>
            <w:r w:rsidRPr="001D0199">
              <w:rPr>
                <w:rFonts w:cs="Arial"/>
              </w:rPr>
              <w:t xml:space="preserve">Eine Gabe von GFP ist </w:t>
            </w:r>
            <w:r w:rsidRPr="001D0199">
              <w:rPr>
                <w:rFonts w:cs="Arial"/>
                <w:u w:val="single"/>
              </w:rPr>
              <w:t>nicht</w:t>
            </w:r>
            <w:r w:rsidRPr="001D0199">
              <w:rPr>
                <w:rFonts w:cs="Arial"/>
              </w:rPr>
              <w:t xml:space="preserve"> angezeigt als Volumen-, Eiweiß- und Albuminersatz, zur Immunglobulinsubstitution und zur parenteralen Ernährung</w:t>
            </w:r>
          </w:p>
          <w:p w:rsidR="00561F3B" w:rsidRPr="001D0199" w:rsidRDefault="00561F3B" w:rsidP="009E69E2">
            <w:pPr>
              <w:jc w:val="both"/>
              <w:rPr>
                <w:rFonts w:cs="Arial"/>
                <w:b/>
              </w:rPr>
            </w:pPr>
          </w:p>
        </w:tc>
      </w:tr>
      <w:tr w:rsidR="00561F3B" w:rsidRPr="00D67596" w:rsidTr="009E69E2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561F3B" w:rsidRPr="001D0199" w:rsidRDefault="00561F3B" w:rsidP="009E69E2">
            <w:pPr>
              <w:jc w:val="both"/>
              <w:rPr>
                <w:rFonts w:cs="Arial"/>
                <w:b/>
              </w:rPr>
            </w:pPr>
            <w:r w:rsidRPr="001D0199">
              <w:rPr>
                <w:rFonts w:cs="Arial"/>
                <w:b/>
              </w:rPr>
              <w:t>3.</w:t>
            </w:r>
          </w:p>
        </w:tc>
        <w:tc>
          <w:tcPr>
            <w:tcW w:w="9285" w:type="dxa"/>
          </w:tcPr>
          <w:p w:rsidR="00561F3B" w:rsidRPr="001D0199" w:rsidRDefault="00561F3B" w:rsidP="009E69E2">
            <w:pPr>
              <w:jc w:val="both"/>
              <w:rPr>
                <w:rFonts w:cs="Arial"/>
                <w:b/>
              </w:rPr>
            </w:pPr>
            <w:r w:rsidRPr="001D0199">
              <w:rPr>
                <w:rFonts w:cs="Arial"/>
                <w:b/>
              </w:rPr>
              <w:t>Informationen zur Anwendung</w:t>
            </w:r>
          </w:p>
          <w:p w:rsidR="00561F3B" w:rsidRPr="001D0199" w:rsidRDefault="00561F3B" w:rsidP="009E69E2">
            <w:pPr>
              <w:jc w:val="both"/>
              <w:rPr>
                <w:rFonts w:cs="Arial"/>
                <w:b/>
              </w:rPr>
            </w:pPr>
            <w:r w:rsidRPr="001D0199">
              <w:rPr>
                <w:rFonts w:cs="Arial"/>
                <w:b/>
              </w:rPr>
              <w:t>a) Gegenanzeigen</w:t>
            </w:r>
          </w:p>
          <w:p w:rsidR="00561F3B" w:rsidRPr="001D0199" w:rsidRDefault="00561F3B" w:rsidP="009E69E2">
            <w:pPr>
              <w:numPr>
                <w:ilvl w:val="12"/>
                <w:numId w:val="0"/>
              </w:numPr>
              <w:jc w:val="both"/>
              <w:rPr>
                <w:rFonts w:cs="Arial"/>
              </w:rPr>
            </w:pPr>
            <w:r w:rsidRPr="001D0199">
              <w:rPr>
                <w:rFonts w:cs="Arial"/>
              </w:rPr>
              <w:t>Absolut:</w:t>
            </w:r>
          </w:p>
          <w:p w:rsidR="00561F3B" w:rsidRPr="001D0199" w:rsidRDefault="00561F3B" w:rsidP="00561F3B">
            <w:pPr>
              <w:numPr>
                <w:ilvl w:val="0"/>
                <w:numId w:val="1"/>
              </w:numPr>
              <w:tabs>
                <w:tab w:val="left" w:pos="567"/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</w:tabs>
              <w:jc w:val="both"/>
              <w:rPr>
                <w:rFonts w:cs="Arial"/>
              </w:rPr>
            </w:pPr>
            <w:r w:rsidRPr="001D0199">
              <w:rPr>
                <w:rFonts w:cs="Arial"/>
              </w:rPr>
              <w:t>Plasmaeiweiß-Unverträglichkeit</w:t>
            </w:r>
          </w:p>
          <w:p w:rsidR="00561F3B" w:rsidRPr="001D0199" w:rsidRDefault="00561F3B" w:rsidP="009E69E2">
            <w:pPr>
              <w:numPr>
                <w:ilvl w:val="12"/>
                <w:numId w:val="0"/>
              </w:numPr>
              <w:jc w:val="both"/>
              <w:rPr>
                <w:rFonts w:cs="Arial"/>
              </w:rPr>
            </w:pPr>
            <w:r w:rsidRPr="001D0199">
              <w:rPr>
                <w:rFonts w:cs="Arial"/>
              </w:rPr>
              <w:t>Relativ:</w:t>
            </w:r>
          </w:p>
          <w:p w:rsidR="00561F3B" w:rsidRPr="001D0199" w:rsidRDefault="00561F3B" w:rsidP="00561F3B">
            <w:pPr>
              <w:numPr>
                <w:ilvl w:val="0"/>
                <w:numId w:val="1"/>
              </w:numPr>
              <w:tabs>
                <w:tab w:val="left" w:pos="567"/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</w:tabs>
              <w:jc w:val="both"/>
              <w:rPr>
                <w:rFonts w:cs="Arial"/>
              </w:rPr>
            </w:pPr>
            <w:r w:rsidRPr="001D0199">
              <w:rPr>
                <w:rFonts w:cs="Arial"/>
              </w:rPr>
              <w:t>Kardiale Dekompensation, Hypervolämie, Hyperhydratation, Lungenödem</w:t>
            </w:r>
          </w:p>
          <w:p w:rsidR="00561F3B" w:rsidRPr="001D0199" w:rsidRDefault="00561F3B" w:rsidP="00561F3B">
            <w:pPr>
              <w:numPr>
                <w:ilvl w:val="0"/>
                <w:numId w:val="1"/>
              </w:numPr>
              <w:tabs>
                <w:tab w:val="left" w:pos="567"/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</w:tabs>
              <w:jc w:val="both"/>
              <w:rPr>
                <w:rFonts w:cs="Arial"/>
              </w:rPr>
            </w:pPr>
            <w:r w:rsidRPr="001D0199">
              <w:rPr>
                <w:rFonts w:cs="Arial"/>
              </w:rPr>
              <w:t>nachgewiesener IgA-Mangel</w:t>
            </w:r>
          </w:p>
          <w:p w:rsidR="00561F3B" w:rsidRPr="001D0199" w:rsidRDefault="00561F3B" w:rsidP="009E69E2">
            <w:pPr>
              <w:jc w:val="both"/>
              <w:rPr>
                <w:rFonts w:cs="Arial"/>
              </w:rPr>
            </w:pPr>
          </w:p>
        </w:tc>
      </w:tr>
      <w:tr w:rsidR="00561F3B" w:rsidRPr="00D67596" w:rsidTr="009E69E2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561F3B" w:rsidRPr="001D0199" w:rsidRDefault="00561F3B" w:rsidP="009E69E2">
            <w:pPr>
              <w:jc w:val="both"/>
              <w:rPr>
                <w:rFonts w:cs="Arial"/>
                <w:b/>
              </w:rPr>
            </w:pPr>
          </w:p>
        </w:tc>
        <w:tc>
          <w:tcPr>
            <w:tcW w:w="9285" w:type="dxa"/>
          </w:tcPr>
          <w:p w:rsidR="00561F3B" w:rsidRPr="001D0199" w:rsidRDefault="00561F3B" w:rsidP="009E69E2">
            <w:pPr>
              <w:jc w:val="both"/>
              <w:rPr>
                <w:rFonts w:cs="Arial"/>
                <w:b/>
              </w:rPr>
            </w:pPr>
            <w:r w:rsidRPr="001D0199">
              <w:rPr>
                <w:rFonts w:cs="Arial"/>
                <w:b/>
              </w:rPr>
              <w:t>b) Vorsichtsmaßnahmen für die Anwendung</w:t>
            </w:r>
          </w:p>
          <w:p w:rsidR="00561F3B" w:rsidRPr="001D0199" w:rsidRDefault="00561F3B" w:rsidP="009E69E2">
            <w:pPr>
              <w:numPr>
                <w:ilvl w:val="12"/>
                <w:numId w:val="0"/>
              </w:numPr>
              <w:jc w:val="both"/>
              <w:rPr>
                <w:rFonts w:cs="Arial"/>
              </w:rPr>
            </w:pPr>
            <w:r w:rsidRPr="001D0199">
              <w:rPr>
                <w:rFonts w:cs="Arial"/>
              </w:rPr>
              <w:t>Plasma wird AB0-gleich über ein Transfusionsgerät mit Standardfilter der Porengr</w:t>
            </w:r>
            <w:r w:rsidRPr="001D0199">
              <w:rPr>
                <w:rFonts w:cs="Arial"/>
              </w:rPr>
              <w:t>ö</w:t>
            </w:r>
            <w:r w:rsidRPr="001D0199">
              <w:rPr>
                <w:rFonts w:cs="Arial"/>
              </w:rPr>
              <w:t>ße 170 bis 230 µm transfundiert. In Ausnahmefällen können auch AB0-kompatible Plasmen (s. Querschnitts-Leitlinien) transfundiert werden. Es sollte in der Regel schnell infundiert werden, dem Zustand des Patienten entsprechend ist der Kreislauf zu kontrollieren. Werden mehr als 50 ml/min beim Erwachsenen appliziert, ist eine zusätzliche Gabe von Ka</w:t>
            </w:r>
            <w:r w:rsidRPr="001D0199">
              <w:rPr>
                <w:rFonts w:cs="Arial"/>
              </w:rPr>
              <w:t>l</w:t>
            </w:r>
            <w:r w:rsidRPr="001D0199">
              <w:rPr>
                <w:rFonts w:cs="Arial"/>
              </w:rPr>
              <w:t>zium erforderlich.</w:t>
            </w:r>
          </w:p>
          <w:p w:rsidR="00561F3B" w:rsidRPr="001D0199" w:rsidRDefault="00561F3B" w:rsidP="009E69E2">
            <w:pPr>
              <w:numPr>
                <w:ilvl w:val="12"/>
                <w:numId w:val="0"/>
              </w:numPr>
              <w:jc w:val="both"/>
              <w:rPr>
                <w:rFonts w:cs="Arial"/>
              </w:rPr>
            </w:pPr>
            <w:r w:rsidRPr="001D0199">
              <w:rPr>
                <w:rFonts w:cs="Arial"/>
              </w:rPr>
              <w:t>Bei neonataler Transfusion sollte sorgfältig auf Anzeichen einer Zitratintoxikation g</w:t>
            </w:r>
            <w:r w:rsidRPr="001D0199">
              <w:rPr>
                <w:rFonts w:cs="Arial"/>
              </w:rPr>
              <w:t>e</w:t>
            </w:r>
            <w:r w:rsidRPr="001D0199">
              <w:rPr>
                <w:rFonts w:cs="Arial"/>
              </w:rPr>
              <w:t>achtet und die Transfusionsgeschwindigkeit dem klinischen Zustand angepasst we</w:t>
            </w:r>
            <w:r w:rsidRPr="001D0199">
              <w:rPr>
                <w:rFonts w:cs="Arial"/>
              </w:rPr>
              <w:t>r</w:t>
            </w:r>
            <w:r w:rsidRPr="001D0199">
              <w:rPr>
                <w:rFonts w:cs="Arial"/>
              </w:rPr>
              <w:t>den.</w:t>
            </w:r>
          </w:p>
          <w:p w:rsidR="00561F3B" w:rsidRPr="001D0199" w:rsidRDefault="00561F3B" w:rsidP="009E69E2">
            <w:pPr>
              <w:numPr>
                <w:ilvl w:val="12"/>
                <w:numId w:val="0"/>
              </w:numPr>
              <w:jc w:val="both"/>
              <w:rPr>
                <w:rFonts w:cs="Arial"/>
              </w:rPr>
            </w:pPr>
          </w:p>
        </w:tc>
      </w:tr>
      <w:tr w:rsidR="00561F3B" w:rsidRPr="00D67596" w:rsidTr="009E69E2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561F3B" w:rsidRPr="001D0199" w:rsidRDefault="00561F3B" w:rsidP="009E69E2">
            <w:pPr>
              <w:jc w:val="both"/>
              <w:rPr>
                <w:rFonts w:cs="Arial"/>
                <w:b/>
              </w:rPr>
            </w:pPr>
          </w:p>
        </w:tc>
        <w:tc>
          <w:tcPr>
            <w:tcW w:w="9285" w:type="dxa"/>
          </w:tcPr>
          <w:p w:rsidR="00561F3B" w:rsidRPr="001D0199" w:rsidRDefault="00561F3B" w:rsidP="009E69E2">
            <w:pPr>
              <w:jc w:val="both"/>
              <w:rPr>
                <w:rFonts w:cs="Arial"/>
                <w:b/>
              </w:rPr>
            </w:pPr>
            <w:r w:rsidRPr="001D0199">
              <w:rPr>
                <w:rFonts w:cs="Arial"/>
                <w:b/>
              </w:rPr>
              <w:t>c) Wechselwirkungen mit anderen Arzneimitteln, soweit sie die Wirkungsweise des Arzneimittels beeinflussen können und Hauptinkompatibilitäten</w:t>
            </w:r>
          </w:p>
          <w:p w:rsidR="00561F3B" w:rsidRPr="001D0199" w:rsidRDefault="00561F3B" w:rsidP="009E69E2">
            <w:pPr>
              <w:numPr>
                <w:ilvl w:val="12"/>
                <w:numId w:val="0"/>
              </w:numPr>
              <w:jc w:val="both"/>
              <w:rPr>
                <w:rFonts w:cs="Arial"/>
              </w:rPr>
            </w:pPr>
            <w:r w:rsidRPr="001D0199">
              <w:rPr>
                <w:rFonts w:cs="Arial"/>
              </w:rPr>
              <w:t>Wechselwirkungen mit anderen Mitteln sind nicht bekannt. Wegen der möglichen A</w:t>
            </w:r>
            <w:r w:rsidRPr="001D0199">
              <w:rPr>
                <w:rFonts w:cs="Arial"/>
              </w:rPr>
              <w:t>k</w:t>
            </w:r>
            <w:r w:rsidRPr="001D0199">
              <w:rPr>
                <w:rFonts w:cs="Arial"/>
              </w:rPr>
              <w:t>tivierung der Gerinnungsfaktoren dürfen kalziumhaltige Lösungen nicht gleichzeitig in demselben Schlauchsystem appliziert werden. Die Beimischung von Medika</w:t>
            </w:r>
            <w:r w:rsidRPr="001D0199">
              <w:rPr>
                <w:rFonts w:cs="Arial"/>
              </w:rPr>
              <w:softHyphen/>
              <w:t>menten zum Plasma ist nicht zulässig.</w:t>
            </w:r>
          </w:p>
          <w:p w:rsidR="00561F3B" w:rsidRPr="001D0199" w:rsidRDefault="00561F3B" w:rsidP="009E69E2">
            <w:pPr>
              <w:jc w:val="both"/>
              <w:rPr>
                <w:rFonts w:cs="Arial"/>
                <w:b/>
              </w:rPr>
            </w:pPr>
          </w:p>
        </w:tc>
      </w:tr>
      <w:tr w:rsidR="00561F3B" w:rsidRPr="00D67596" w:rsidTr="009E69E2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561F3B" w:rsidRPr="001D0199" w:rsidRDefault="00561F3B" w:rsidP="009E69E2">
            <w:pPr>
              <w:jc w:val="both"/>
              <w:rPr>
                <w:rFonts w:cs="Arial"/>
                <w:b/>
              </w:rPr>
            </w:pPr>
          </w:p>
        </w:tc>
        <w:tc>
          <w:tcPr>
            <w:tcW w:w="9285" w:type="dxa"/>
          </w:tcPr>
          <w:p w:rsidR="00561F3B" w:rsidRPr="001D0199" w:rsidRDefault="00561F3B" w:rsidP="009E69E2">
            <w:pPr>
              <w:jc w:val="both"/>
              <w:rPr>
                <w:rFonts w:cs="Arial"/>
                <w:b/>
              </w:rPr>
            </w:pPr>
            <w:r w:rsidRPr="001D0199">
              <w:rPr>
                <w:rFonts w:cs="Arial"/>
                <w:b/>
              </w:rPr>
              <w:t>d) Verwendung für besondere Personengruppen</w:t>
            </w:r>
          </w:p>
          <w:p w:rsidR="00561F3B" w:rsidRPr="001D0199" w:rsidRDefault="00561F3B" w:rsidP="009E69E2">
            <w:pPr>
              <w:jc w:val="both"/>
              <w:rPr>
                <w:rFonts w:cs="Arial"/>
              </w:rPr>
            </w:pPr>
            <w:r w:rsidRPr="001D0199">
              <w:rPr>
                <w:rFonts w:cs="Arial"/>
                <w:u w:val="single"/>
              </w:rPr>
              <w:t>Schwangerschaft und Stillzeit:</w:t>
            </w:r>
            <w:r w:rsidRPr="001D0199">
              <w:rPr>
                <w:rFonts w:cs="Arial"/>
              </w:rPr>
              <w:t xml:space="preserve"> Bei bestimmungsgemäßem Gebrauch bestehen keine Einwände.</w:t>
            </w:r>
          </w:p>
          <w:p w:rsidR="00561F3B" w:rsidRPr="001D0199" w:rsidRDefault="00561F3B" w:rsidP="009E69E2">
            <w:pPr>
              <w:jc w:val="both"/>
              <w:rPr>
                <w:rFonts w:cs="Arial"/>
              </w:rPr>
            </w:pPr>
            <w:r w:rsidRPr="001D0199">
              <w:rPr>
                <w:rFonts w:cs="Arial"/>
                <w:u w:val="single"/>
              </w:rPr>
              <w:t xml:space="preserve">Auswirkung auf Kraftfahrer und die Bedienung von Maschinen: </w:t>
            </w:r>
            <w:r w:rsidRPr="001D0199">
              <w:rPr>
                <w:rFonts w:cs="Arial"/>
              </w:rPr>
              <w:t>Nach der Transfusion von Plasma sollte eine Ruhepause von mindestens 1/2 Stunde ei</w:t>
            </w:r>
            <w:r w:rsidRPr="001D0199">
              <w:rPr>
                <w:rFonts w:cs="Arial"/>
              </w:rPr>
              <w:t>n</w:t>
            </w:r>
            <w:r w:rsidRPr="001D0199">
              <w:rPr>
                <w:rFonts w:cs="Arial"/>
              </w:rPr>
              <w:t>gehalten werden.</w:t>
            </w:r>
          </w:p>
          <w:p w:rsidR="00561F3B" w:rsidRPr="001D0199" w:rsidRDefault="00561F3B" w:rsidP="009E69E2">
            <w:pPr>
              <w:jc w:val="both"/>
              <w:rPr>
                <w:rFonts w:cs="Arial"/>
                <w:b/>
              </w:rPr>
            </w:pPr>
          </w:p>
        </w:tc>
      </w:tr>
      <w:tr w:rsidR="00561F3B" w:rsidRPr="00D67596" w:rsidTr="009E69E2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561F3B" w:rsidRPr="001D0199" w:rsidRDefault="00561F3B" w:rsidP="009E69E2">
            <w:pPr>
              <w:jc w:val="both"/>
              <w:rPr>
                <w:rFonts w:cs="Arial"/>
                <w:b/>
              </w:rPr>
            </w:pPr>
          </w:p>
        </w:tc>
        <w:tc>
          <w:tcPr>
            <w:tcW w:w="9285" w:type="dxa"/>
          </w:tcPr>
          <w:p w:rsidR="00561F3B" w:rsidRPr="001D0199" w:rsidRDefault="00561F3B" w:rsidP="009E69E2">
            <w:pPr>
              <w:jc w:val="both"/>
              <w:rPr>
                <w:rFonts w:cs="Arial"/>
                <w:b/>
              </w:rPr>
            </w:pPr>
            <w:r w:rsidRPr="001D0199">
              <w:rPr>
                <w:rFonts w:cs="Arial"/>
                <w:b/>
              </w:rPr>
              <w:t>e) Warnhinweise</w:t>
            </w:r>
          </w:p>
          <w:p w:rsidR="00561F3B" w:rsidRPr="001D0199" w:rsidRDefault="00561F3B" w:rsidP="009E69E2">
            <w:pPr>
              <w:numPr>
                <w:ilvl w:val="12"/>
                <w:numId w:val="0"/>
              </w:numPr>
              <w:jc w:val="both"/>
              <w:rPr>
                <w:rFonts w:cs="Arial"/>
              </w:rPr>
            </w:pPr>
            <w:r w:rsidRPr="001D0199">
              <w:rPr>
                <w:rFonts w:cs="Arial"/>
              </w:rPr>
              <w:t>sind nicht angeordnet.</w:t>
            </w:r>
          </w:p>
          <w:p w:rsidR="00561F3B" w:rsidRPr="001D0199" w:rsidRDefault="00561F3B" w:rsidP="009E69E2">
            <w:pPr>
              <w:jc w:val="both"/>
              <w:rPr>
                <w:rFonts w:cs="Arial"/>
                <w:b/>
              </w:rPr>
            </w:pPr>
            <w:r w:rsidRPr="001D0199">
              <w:rPr>
                <w:rFonts w:cs="Arial"/>
                <w:b/>
              </w:rPr>
              <w:t xml:space="preserve"> </w:t>
            </w:r>
          </w:p>
        </w:tc>
      </w:tr>
      <w:tr w:rsidR="00561F3B" w:rsidRPr="00D67596" w:rsidTr="009E69E2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561F3B" w:rsidRPr="001D0199" w:rsidRDefault="00561F3B" w:rsidP="009E69E2">
            <w:pPr>
              <w:jc w:val="both"/>
              <w:rPr>
                <w:rFonts w:cs="Arial"/>
                <w:b/>
              </w:rPr>
            </w:pPr>
            <w:r w:rsidRPr="001D0199">
              <w:rPr>
                <w:rFonts w:cs="Arial"/>
                <w:b/>
              </w:rPr>
              <w:t>4.</w:t>
            </w:r>
          </w:p>
        </w:tc>
        <w:tc>
          <w:tcPr>
            <w:tcW w:w="9285" w:type="dxa"/>
          </w:tcPr>
          <w:p w:rsidR="00561F3B" w:rsidRPr="001D0199" w:rsidRDefault="00561F3B" w:rsidP="009E69E2">
            <w:pPr>
              <w:jc w:val="both"/>
              <w:rPr>
                <w:rFonts w:cs="Arial"/>
                <w:b/>
              </w:rPr>
            </w:pPr>
            <w:r w:rsidRPr="001D0199">
              <w:rPr>
                <w:rFonts w:cs="Arial"/>
                <w:b/>
              </w:rPr>
              <w:t>Hinweise zur ordnungsgemäßen Anwendung</w:t>
            </w:r>
          </w:p>
          <w:p w:rsidR="00561F3B" w:rsidRPr="001D0199" w:rsidRDefault="00561F3B" w:rsidP="009E69E2">
            <w:pPr>
              <w:jc w:val="both"/>
              <w:rPr>
                <w:rFonts w:cs="Arial"/>
                <w:b/>
              </w:rPr>
            </w:pPr>
            <w:r w:rsidRPr="001D0199">
              <w:rPr>
                <w:rFonts w:cs="Arial"/>
                <w:b/>
              </w:rPr>
              <w:t>a) Dosierung</w:t>
            </w:r>
          </w:p>
          <w:p w:rsidR="00561F3B" w:rsidRPr="001D0199" w:rsidRDefault="00561F3B" w:rsidP="009E69E2">
            <w:pPr>
              <w:numPr>
                <w:ilvl w:val="12"/>
                <w:numId w:val="0"/>
              </w:numPr>
              <w:jc w:val="both"/>
              <w:rPr>
                <w:rFonts w:cs="Arial"/>
              </w:rPr>
            </w:pPr>
            <w:r w:rsidRPr="001D0199">
              <w:rPr>
                <w:rFonts w:cs="Arial"/>
              </w:rPr>
              <w:t>Die Dosierung richtet sich nach dem klinischen Bild und dem Ergebnis von Blutgeri</w:t>
            </w:r>
            <w:r w:rsidRPr="001D0199">
              <w:rPr>
                <w:rFonts w:cs="Arial"/>
              </w:rPr>
              <w:t>n</w:t>
            </w:r>
            <w:r w:rsidRPr="001D0199">
              <w:rPr>
                <w:rFonts w:cs="Arial"/>
              </w:rPr>
              <w:t>nungsuntersuchungen. Zur Orientierung hinsichtlich der initialen Dosis gilt die Faus</w:t>
            </w:r>
            <w:r w:rsidRPr="001D0199">
              <w:rPr>
                <w:rFonts w:cs="Arial"/>
              </w:rPr>
              <w:t>t</w:t>
            </w:r>
            <w:r w:rsidRPr="001D0199">
              <w:rPr>
                <w:rFonts w:cs="Arial"/>
              </w:rPr>
              <w:t xml:space="preserve">regel: 1 ml Plasma/kg Körpergewicht erhöht den Faktorengehalt um bis zu 1 %. Um eine hämostyptische Wirkung </w:t>
            </w:r>
            <w:r w:rsidRPr="001D0199">
              <w:rPr>
                <w:rFonts w:cs="Arial"/>
              </w:rPr>
              <w:lastRenderedPageBreak/>
              <w:t>zu erreichen, sind beim Erwachsenen initial minde</w:t>
            </w:r>
            <w:r w:rsidRPr="001D0199">
              <w:rPr>
                <w:rFonts w:cs="Arial"/>
              </w:rPr>
              <w:t>s</w:t>
            </w:r>
            <w:r w:rsidRPr="001D0199">
              <w:rPr>
                <w:rFonts w:cs="Arial"/>
              </w:rPr>
              <w:t>tens 3 bis 4 Einheiten Plasma erforderlich.</w:t>
            </w:r>
          </w:p>
        </w:tc>
      </w:tr>
      <w:tr w:rsidR="00561F3B" w:rsidRPr="00D67596" w:rsidTr="009E69E2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561F3B" w:rsidRPr="001D0199" w:rsidRDefault="00561F3B" w:rsidP="009E69E2">
            <w:pPr>
              <w:jc w:val="both"/>
              <w:rPr>
                <w:rFonts w:cs="Arial"/>
                <w:b/>
              </w:rPr>
            </w:pPr>
          </w:p>
        </w:tc>
        <w:tc>
          <w:tcPr>
            <w:tcW w:w="9285" w:type="dxa"/>
          </w:tcPr>
          <w:p w:rsidR="00561F3B" w:rsidRPr="001D0199" w:rsidRDefault="00561F3B" w:rsidP="009E69E2">
            <w:pPr>
              <w:jc w:val="both"/>
              <w:rPr>
                <w:rFonts w:cs="Arial"/>
                <w:b/>
              </w:rPr>
            </w:pPr>
            <w:r w:rsidRPr="001D0199">
              <w:rPr>
                <w:rFonts w:cs="Arial"/>
                <w:b/>
              </w:rPr>
              <w:t>b) Art der Anwendung</w:t>
            </w:r>
          </w:p>
          <w:p w:rsidR="00561F3B" w:rsidRPr="001D0199" w:rsidRDefault="00561F3B" w:rsidP="009E69E2">
            <w:pPr>
              <w:jc w:val="both"/>
              <w:rPr>
                <w:rFonts w:cs="Arial"/>
              </w:rPr>
            </w:pPr>
            <w:r w:rsidRPr="001D0199">
              <w:rPr>
                <w:rFonts w:cs="Arial"/>
              </w:rPr>
              <w:t xml:space="preserve">zur i. v. Infusion nach Auftauen </w:t>
            </w:r>
          </w:p>
          <w:p w:rsidR="00561F3B" w:rsidRPr="001D0199" w:rsidRDefault="00561F3B" w:rsidP="009E69E2">
            <w:pPr>
              <w:jc w:val="both"/>
              <w:rPr>
                <w:rFonts w:cs="Arial"/>
              </w:rPr>
            </w:pPr>
          </w:p>
        </w:tc>
      </w:tr>
      <w:tr w:rsidR="00561F3B" w:rsidRPr="00D67596" w:rsidTr="009E69E2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561F3B" w:rsidRPr="001D0199" w:rsidRDefault="00561F3B" w:rsidP="009E69E2">
            <w:pPr>
              <w:jc w:val="both"/>
              <w:rPr>
                <w:rFonts w:cs="Arial"/>
                <w:b/>
              </w:rPr>
            </w:pPr>
          </w:p>
        </w:tc>
        <w:tc>
          <w:tcPr>
            <w:tcW w:w="9285" w:type="dxa"/>
          </w:tcPr>
          <w:p w:rsidR="00561F3B" w:rsidRPr="001D0199" w:rsidRDefault="00561F3B" w:rsidP="009E69E2">
            <w:pPr>
              <w:jc w:val="both"/>
              <w:rPr>
                <w:rFonts w:cs="Arial"/>
                <w:b/>
              </w:rPr>
            </w:pPr>
            <w:r w:rsidRPr="001D0199">
              <w:rPr>
                <w:rFonts w:cs="Arial"/>
                <w:b/>
              </w:rPr>
              <w:t>c) Häufigkeit der Verabreichung</w:t>
            </w:r>
          </w:p>
          <w:p w:rsidR="00561F3B" w:rsidRPr="001D0199" w:rsidRDefault="00561F3B" w:rsidP="009E69E2">
            <w:pPr>
              <w:jc w:val="both"/>
              <w:rPr>
                <w:rFonts w:cs="Arial"/>
              </w:rPr>
            </w:pPr>
            <w:r w:rsidRPr="001D0199">
              <w:rPr>
                <w:rFonts w:cs="Arial"/>
              </w:rPr>
              <w:t>nach Indikationsstellung</w:t>
            </w:r>
          </w:p>
          <w:p w:rsidR="00561F3B" w:rsidRPr="001D0199" w:rsidRDefault="00561F3B" w:rsidP="009E69E2">
            <w:pPr>
              <w:jc w:val="both"/>
              <w:rPr>
                <w:rFonts w:cs="Arial"/>
              </w:rPr>
            </w:pPr>
          </w:p>
        </w:tc>
      </w:tr>
      <w:tr w:rsidR="00561F3B" w:rsidRPr="00D67596" w:rsidTr="009E69E2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561F3B" w:rsidRPr="001D0199" w:rsidRDefault="00561F3B" w:rsidP="009E69E2">
            <w:pPr>
              <w:jc w:val="both"/>
              <w:rPr>
                <w:rFonts w:cs="Arial"/>
                <w:b/>
              </w:rPr>
            </w:pPr>
          </w:p>
        </w:tc>
        <w:tc>
          <w:tcPr>
            <w:tcW w:w="9285" w:type="dxa"/>
          </w:tcPr>
          <w:p w:rsidR="00561F3B" w:rsidRPr="001D0199" w:rsidRDefault="00561F3B" w:rsidP="009E69E2">
            <w:pPr>
              <w:jc w:val="both"/>
              <w:rPr>
                <w:rFonts w:cs="Arial"/>
                <w:b/>
              </w:rPr>
            </w:pPr>
            <w:r w:rsidRPr="001D0199">
              <w:rPr>
                <w:rFonts w:cs="Arial"/>
                <w:b/>
              </w:rPr>
              <w:t>d) Dauer der Behandlung</w:t>
            </w:r>
          </w:p>
          <w:p w:rsidR="00561F3B" w:rsidRPr="001D0199" w:rsidRDefault="00561F3B" w:rsidP="009E69E2">
            <w:pPr>
              <w:jc w:val="both"/>
              <w:rPr>
                <w:rFonts w:cs="Arial"/>
              </w:rPr>
            </w:pPr>
            <w:r w:rsidRPr="001D0199">
              <w:rPr>
                <w:rFonts w:cs="Arial"/>
              </w:rPr>
              <w:t xml:space="preserve">nach Indikationsstellung </w:t>
            </w:r>
          </w:p>
          <w:p w:rsidR="00561F3B" w:rsidRPr="001D0199" w:rsidRDefault="00561F3B" w:rsidP="009E69E2">
            <w:pPr>
              <w:jc w:val="both"/>
              <w:rPr>
                <w:rFonts w:cs="Arial"/>
              </w:rPr>
            </w:pPr>
          </w:p>
        </w:tc>
      </w:tr>
      <w:tr w:rsidR="00561F3B" w:rsidRPr="00D67596" w:rsidTr="009E69E2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561F3B" w:rsidRPr="001D0199" w:rsidRDefault="00561F3B" w:rsidP="009E69E2">
            <w:pPr>
              <w:jc w:val="both"/>
              <w:rPr>
                <w:rFonts w:cs="Arial"/>
                <w:b/>
              </w:rPr>
            </w:pPr>
          </w:p>
        </w:tc>
        <w:tc>
          <w:tcPr>
            <w:tcW w:w="9285" w:type="dxa"/>
          </w:tcPr>
          <w:p w:rsidR="00561F3B" w:rsidRPr="001D0199" w:rsidRDefault="00561F3B" w:rsidP="009E69E2">
            <w:pPr>
              <w:jc w:val="both"/>
              <w:rPr>
                <w:rFonts w:cs="Arial"/>
                <w:b/>
              </w:rPr>
            </w:pPr>
            <w:r w:rsidRPr="001D0199">
              <w:rPr>
                <w:rFonts w:cs="Arial"/>
                <w:b/>
              </w:rPr>
              <w:t>e) Überdosierung</w:t>
            </w:r>
          </w:p>
          <w:p w:rsidR="00561F3B" w:rsidRPr="001D0199" w:rsidRDefault="00561F3B" w:rsidP="009E69E2">
            <w:pPr>
              <w:numPr>
                <w:ilvl w:val="12"/>
                <w:numId w:val="0"/>
              </w:numPr>
              <w:jc w:val="both"/>
              <w:rPr>
                <w:rFonts w:cs="Arial"/>
              </w:rPr>
            </w:pPr>
            <w:r w:rsidRPr="001D0199">
              <w:rPr>
                <w:rFonts w:cs="Arial"/>
              </w:rPr>
              <w:t>Bei hoher Dosis besteht die Gefahr einer Kreislaufüberlastung.</w:t>
            </w:r>
          </w:p>
          <w:p w:rsidR="00561F3B" w:rsidRPr="001D0199" w:rsidRDefault="00561F3B" w:rsidP="009E69E2">
            <w:pPr>
              <w:numPr>
                <w:ilvl w:val="12"/>
                <w:numId w:val="0"/>
              </w:numPr>
              <w:jc w:val="both"/>
              <w:rPr>
                <w:rFonts w:cs="Arial"/>
              </w:rPr>
            </w:pPr>
          </w:p>
        </w:tc>
      </w:tr>
      <w:tr w:rsidR="00561F3B" w:rsidRPr="00D67596" w:rsidTr="009E69E2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561F3B" w:rsidRPr="001D0199" w:rsidRDefault="00561F3B" w:rsidP="009E69E2">
            <w:pPr>
              <w:jc w:val="both"/>
              <w:rPr>
                <w:rFonts w:cs="Arial"/>
                <w:b/>
              </w:rPr>
            </w:pPr>
          </w:p>
        </w:tc>
        <w:tc>
          <w:tcPr>
            <w:tcW w:w="9285" w:type="dxa"/>
          </w:tcPr>
          <w:p w:rsidR="00561F3B" w:rsidRPr="001D0199" w:rsidRDefault="00561F3B" w:rsidP="009E69E2">
            <w:pPr>
              <w:jc w:val="both"/>
              <w:rPr>
                <w:rFonts w:cs="Arial"/>
                <w:b/>
              </w:rPr>
            </w:pPr>
            <w:r w:rsidRPr="001D0199">
              <w:rPr>
                <w:rFonts w:cs="Arial"/>
                <w:b/>
              </w:rPr>
              <w:t>f) Notfallmaßnahmen</w:t>
            </w:r>
          </w:p>
          <w:p w:rsidR="00561F3B" w:rsidRPr="001D0199" w:rsidRDefault="00561F3B" w:rsidP="009E69E2">
            <w:pPr>
              <w:numPr>
                <w:ilvl w:val="12"/>
                <w:numId w:val="0"/>
              </w:numPr>
              <w:jc w:val="both"/>
              <w:rPr>
                <w:rFonts w:cs="Arial"/>
              </w:rPr>
            </w:pPr>
            <w:r w:rsidRPr="001D0199">
              <w:rPr>
                <w:rFonts w:cs="Arial"/>
              </w:rPr>
              <w:t>Treten Unverträglichkeiten auf, so ist die Transfusion unverzüglich abzubrechen, der Venenzugang jedoch offen zuhalten und eine Behandlung, der Schwere der Sy</w:t>
            </w:r>
            <w:r w:rsidRPr="001D0199">
              <w:rPr>
                <w:rFonts w:cs="Arial"/>
              </w:rPr>
              <w:t>m</w:t>
            </w:r>
            <w:r w:rsidRPr="001D0199">
              <w:rPr>
                <w:rFonts w:cs="Arial"/>
              </w:rPr>
              <w:t>ptome gemäß, nach den aktuellen Regeln der Notfalltherapie einzuleiten. Bei Hype</w:t>
            </w:r>
            <w:r w:rsidRPr="001D0199">
              <w:rPr>
                <w:rFonts w:cs="Arial"/>
              </w:rPr>
              <w:t>r</w:t>
            </w:r>
            <w:r w:rsidRPr="001D0199">
              <w:rPr>
                <w:rFonts w:cs="Arial"/>
              </w:rPr>
              <w:t>volämie kann eine Volumenreduktion angezeigt sein.</w:t>
            </w:r>
          </w:p>
          <w:p w:rsidR="00561F3B" w:rsidRPr="001D0199" w:rsidRDefault="00561F3B" w:rsidP="009E69E2">
            <w:pPr>
              <w:jc w:val="both"/>
              <w:rPr>
                <w:rFonts w:cs="Arial"/>
              </w:rPr>
            </w:pPr>
          </w:p>
        </w:tc>
      </w:tr>
      <w:tr w:rsidR="00561F3B" w:rsidRPr="00D67596" w:rsidTr="009E69E2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561F3B" w:rsidRPr="001D0199" w:rsidRDefault="00561F3B" w:rsidP="009E69E2">
            <w:pPr>
              <w:jc w:val="both"/>
              <w:rPr>
                <w:rFonts w:cs="Arial"/>
                <w:b/>
              </w:rPr>
            </w:pPr>
            <w:r w:rsidRPr="001D0199">
              <w:rPr>
                <w:rFonts w:cs="Arial"/>
                <w:b/>
              </w:rPr>
              <w:t>5.</w:t>
            </w:r>
          </w:p>
        </w:tc>
        <w:tc>
          <w:tcPr>
            <w:tcW w:w="9285" w:type="dxa"/>
          </w:tcPr>
          <w:p w:rsidR="00561F3B" w:rsidRPr="001D0199" w:rsidRDefault="00561F3B" w:rsidP="009E69E2">
            <w:pPr>
              <w:numPr>
                <w:ilvl w:val="12"/>
                <w:numId w:val="0"/>
              </w:numPr>
              <w:ind w:right="284"/>
              <w:jc w:val="both"/>
              <w:rPr>
                <w:rFonts w:cs="Arial"/>
                <w:b/>
              </w:rPr>
            </w:pPr>
            <w:r w:rsidRPr="001D0199">
              <w:rPr>
                <w:rFonts w:cs="Arial"/>
                <w:b/>
              </w:rPr>
              <w:t>Nebenwirkungen</w:t>
            </w:r>
          </w:p>
          <w:p w:rsidR="00561F3B" w:rsidRPr="001D0199" w:rsidRDefault="00561F3B" w:rsidP="00561F3B">
            <w:pPr>
              <w:numPr>
                <w:ilvl w:val="0"/>
                <w:numId w:val="1"/>
              </w:numPr>
              <w:tabs>
                <w:tab w:val="left" w:pos="567"/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</w:tabs>
              <w:ind w:right="284"/>
              <w:jc w:val="both"/>
              <w:rPr>
                <w:rFonts w:cs="Arial"/>
              </w:rPr>
            </w:pPr>
            <w:r w:rsidRPr="001D0199">
              <w:rPr>
                <w:rFonts w:cs="Arial"/>
              </w:rPr>
              <w:t>Insbesondere bei hohen Transfusionsgeschwindigkeiten und Transfusionsvol</w:t>
            </w:r>
            <w:r w:rsidRPr="001D0199">
              <w:rPr>
                <w:rFonts w:cs="Arial"/>
              </w:rPr>
              <w:t>u</w:t>
            </w:r>
            <w:r w:rsidRPr="001D0199">
              <w:rPr>
                <w:rFonts w:cs="Arial"/>
              </w:rPr>
              <w:t>mina kann es zur Volumenüberlastung des Kreislaufs (Hypervolämie, transfus</w:t>
            </w:r>
            <w:r w:rsidRPr="001D0199">
              <w:rPr>
                <w:rFonts w:cs="Arial"/>
              </w:rPr>
              <w:t>i</w:t>
            </w:r>
            <w:r w:rsidRPr="001D0199">
              <w:rPr>
                <w:rFonts w:cs="Arial"/>
              </w:rPr>
              <w:t>onsassoziierte zirkulatorische Überladung) kommen</w:t>
            </w:r>
            <w:r w:rsidRPr="001D0199">
              <w:rPr>
                <w:rFonts w:cs="Arial"/>
                <w:color w:val="0000FF"/>
              </w:rPr>
              <w:t xml:space="preserve">, </w:t>
            </w:r>
            <w:r w:rsidRPr="001D0199">
              <w:rPr>
                <w:rFonts w:cs="Arial"/>
              </w:rPr>
              <w:t>sie kann insbesondere bei Herzkreislauferkrankungen zu akutem Herzversagen mit Lu</w:t>
            </w:r>
            <w:r w:rsidRPr="001D0199">
              <w:rPr>
                <w:rFonts w:cs="Arial"/>
              </w:rPr>
              <w:t>n</w:t>
            </w:r>
            <w:r w:rsidRPr="001D0199">
              <w:rPr>
                <w:rFonts w:cs="Arial"/>
              </w:rPr>
              <w:t>genödem führen.</w:t>
            </w:r>
          </w:p>
          <w:p w:rsidR="00561F3B" w:rsidRPr="001D0199" w:rsidRDefault="00561F3B" w:rsidP="00561F3B">
            <w:pPr>
              <w:numPr>
                <w:ilvl w:val="0"/>
                <w:numId w:val="1"/>
              </w:numPr>
              <w:tabs>
                <w:tab w:val="left" w:pos="567"/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</w:tabs>
              <w:jc w:val="both"/>
              <w:rPr>
                <w:rFonts w:cs="Arial"/>
              </w:rPr>
            </w:pPr>
            <w:r w:rsidRPr="001D0199">
              <w:rPr>
                <w:rFonts w:cs="Arial"/>
              </w:rPr>
              <w:t>Zitratintoxikationen sind bei schneller Transfusion und bei größeren Volumina in</w:t>
            </w:r>
            <w:r w:rsidRPr="001D0199">
              <w:rPr>
                <w:rFonts w:cs="Arial"/>
              </w:rPr>
              <w:t>s</w:t>
            </w:r>
            <w:r w:rsidRPr="001D0199">
              <w:rPr>
                <w:rFonts w:cs="Arial"/>
              </w:rPr>
              <w:t>besondere bei Leberfunktionsstörung, Schock, Azidose, Hypothermie sowie bei Neug</w:t>
            </w:r>
            <w:r w:rsidRPr="001D0199">
              <w:rPr>
                <w:rFonts w:cs="Arial"/>
              </w:rPr>
              <w:t>e</w:t>
            </w:r>
            <w:r w:rsidRPr="001D0199">
              <w:rPr>
                <w:rFonts w:cs="Arial"/>
              </w:rPr>
              <w:t>borenen möglich.</w:t>
            </w:r>
          </w:p>
          <w:p w:rsidR="00561F3B" w:rsidRPr="001D0199" w:rsidRDefault="00561F3B" w:rsidP="00561F3B">
            <w:pPr>
              <w:numPr>
                <w:ilvl w:val="0"/>
                <w:numId w:val="1"/>
              </w:numPr>
              <w:tabs>
                <w:tab w:val="left" w:pos="567"/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</w:tabs>
              <w:jc w:val="both"/>
              <w:rPr>
                <w:rFonts w:cs="Arial"/>
              </w:rPr>
            </w:pPr>
            <w:r w:rsidRPr="001D0199">
              <w:rPr>
                <w:rFonts w:cs="Arial"/>
              </w:rPr>
              <w:t xml:space="preserve">Transfusionsassoziierte akute Lungeninsuffizienz (TRALI) </w:t>
            </w:r>
          </w:p>
          <w:p w:rsidR="00561F3B" w:rsidRPr="001D0199" w:rsidRDefault="00561F3B" w:rsidP="00561F3B">
            <w:pPr>
              <w:numPr>
                <w:ilvl w:val="0"/>
                <w:numId w:val="1"/>
              </w:numPr>
              <w:tabs>
                <w:tab w:val="left" w:pos="567"/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</w:tabs>
              <w:jc w:val="both"/>
              <w:rPr>
                <w:rFonts w:cs="Arial"/>
              </w:rPr>
            </w:pPr>
            <w:r w:rsidRPr="001D0199">
              <w:rPr>
                <w:rFonts w:cs="Arial"/>
              </w:rPr>
              <w:t>In seltenen Fällen werden anaphylaktoide Reaktionen beobachtet.</w:t>
            </w:r>
          </w:p>
          <w:p w:rsidR="00561F3B" w:rsidRPr="001D0199" w:rsidRDefault="00561F3B" w:rsidP="00561F3B">
            <w:pPr>
              <w:numPr>
                <w:ilvl w:val="0"/>
                <w:numId w:val="1"/>
              </w:numPr>
              <w:tabs>
                <w:tab w:val="left" w:pos="567"/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</w:tabs>
              <w:jc w:val="both"/>
              <w:rPr>
                <w:rFonts w:cs="Arial"/>
              </w:rPr>
            </w:pPr>
            <w:r w:rsidRPr="001D0199">
              <w:rPr>
                <w:rFonts w:cs="Arial"/>
              </w:rPr>
              <w:t>Eine Bildung von Hemmkörpern gegen Gerinnungsfaktoren ist möglich.</w:t>
            </w:r>
          </w:p>
          <w:p w:rsidR="00561F3B" w:rsidRPr="001D0199" w:rsidRDefault="00561F3B" w:rsidP="00561F3B">
            <w:pPr>
              <w:numPr>
                <w:ilvl w:val="0"/>
                <w:numId w:val="1"/>
              </w:numPr>
              <w:tabs>
                <w:tab w:val="left" w:pos="567"/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</w:tabs>
              <w:jc w:val="both"/>
              <w:rPr>
                <w:rFonts w:cs="Arial"/>
              </w:rPr>
            </w:pPr>
            <w:r w:rsidRPr="001D0199">
              <w:rPr>
                <w:rFonts w:cs="Arial"/>
              </w:rPr>
              <w:t>Das Risiko einer bakteriellen Kontamination lässt sich nicht mit letzter Sicherheit au</w:t>
            </w:r>
            <w:r w:rsidRPr="001D0199">
              <w:rPr>
                <w:rFonts w:cs="Arial"/>
              </w:rPr>
              <w:t>s</w:t>
            </w:r>
            <w:r w:rsidRPr="001D0199">
              <w:rPr>
                <w:rFonts w:cs="Arial"/>
              </w:rPr>
              <w:t>schließen.</w:t>
            </w:r>
          </w:p>
          <w:p w:rsidR="00561F3B" w:rsidRPr="001D0199" w:rsidRDefault="00561F3B" w:rsidP="00561F3B">
            <w:pPr>
              <w:numPr>
                <w:ilvl w:val="0"/>
                <w:numId w:val="1"/>
              </w:numPr>
              <w:tabs>
                <w:tab w:val="left" w:pos="567"/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</w:tabs>
              <w:jc w:val="both"/>
              <w:rPr>
                <w:rFonts w:cs="Arial"/>
              </w:rPr>
            </w:pPr>
            <w:r w:rsidRPr="001D0199">
              <w:rPr>
                <w:rFonts w:cs="Arial"/>
              </w:rPr>
              <w:t>Bei der Anwendung von aus menschlichem Blut hergestellten Arzneimitteln ist die Übertragung von Infektionskrankheiten durch Übertragung von Erregern - auch bi</w:t>
            </w:r>
            <w:r w:rsidRPr="001D0199">
              <w:rPr>
                <w:rFonts w:cs="Arial"/>
              </w:rPr>
              <w:t>s</w:t>
            </w:r>
            <w:r w:rsidRPr="001D0199">
              <w:rPr>
                <w:rFonts w:cs="Arial"/>
              </w:rPr>
              <w:t>lang unbekannter Natur - nicht völlig auszuschließen. Dies gilt z.B. für Hepatitiden, seltener für das erworbene Immundefektsyndrom (AIDS).</w:t>
            </w:r>
          </w:p>
          <w:p w:rsidR="00561F3B" w:rsidRPr="001D0199" w:rsidRDefault="00561F3B" w:rsidP="00561F3B">
            <w:pPr>
              <w:numPr>
                <w:ilvl w:val="0"/>
                <w:numId w:val="1"/>
              </w:numPr>
              <w:tabs>
                <w:tab w:val="left" w:pos="567"/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</w:tabs>
              <w:jc w:val="both"/>
              <w:rPr>
                <w:rFonts w:cs="Arial"/>
              </w:rPr>
            </w:pPr>
            <w:r w:rsidRPr="001D0199">
              <w:rPr>
                <w:rFonts w:cs="Arial"/>
              </w:rPr>
              <w:t>Im Vereinigten Königreich Großbritannien und Nordirland wurde über Einzelfälle berichtet, in denen bei Empfängern von Transfusionen, deren Spender später an der varianten Creutzfeldt-Jakob Krankheit (vCJK) erkrankten, ebenfalls der „Err</w:t>
            </w:r>
            <w:r w:rsidRPr="001D0199">
              <w:rPr>
                <w:rFonts w:cs="Arial"/>
              </w:rPr>
              <w:t>e</w:t>
            </w:r>
            <w:r w:rsidRPr="001D0199">
              <w:rPr>
                <w:rFonts w:cs="Arial"/>
              </w:rPr>
              <w:t>ger“ (so genannte Prionen) nachgewiesen wurde. Bei der vCJK handelt es sich um eine in Deutschland bislang nicht beobachtete Erkrankung, die durch den Verzehr von bestimmten Nahrungsmitteln aus BSE-kranken Rindern erworben werden kann.</w:t>
            </w:r>
          </w:p>
          <w:p w:rsidR="00561F3B" w:rsidRPr="001D0199" w:rsidRDefault="00561F3B" w:rsidP="009E69E2">
            <w:pPr>
              <w:pStyle w:val="StandardBlocksatz"/>
            </w:pPr>
          </w:p>
          <w:p w:rsidR="00561F3B" w:rsidRPr="001D0199" w:rsidRDefault="00561F3B" w:rsidP="009E69E2">
            <w:pPr>
              <w:ind w:left="283"/>
              <w:jc w:val="both"/>
              <w:rPr>
                <w:u w:val="single"/>
              </w:rPr>
            </w:pPr>
            <w:r w:rsidRPr="001D0199">
              <w:rPr>
                <w:u w:val="single"/>
              </w:rPr>
              <w:t>Meldung des Verdachts auf Nebenwirkungen</w:t>
            </w:r>
          </w:p>
          <w:p w:rsidR="00561F3B" w:rsidRPr="001D0199" w:rsidRDefault="00561F3B" w:rsidP="009E69E2">
            <w:pPr>
              <w:ind w:left="283"/>
              <w:jc w:val="both"/>
              <w:rPr>
                <w:color w:val="00B0F0"/>
              </w:rPr>
            </w:pPr>
          </w:p>
          <w:p w:rsidR="00561F3B" w:rsidRPr="001D0199" w:rsidRDefault="00561F3B" w:rsidP="009E69E2">
            <w:pPr>
              <w:ind w:left="283"/>
              <w:jc w:val="both"/>
            </w:pPr>
            <w:r w:rsidRPr="001D0199">
              <w:t>Die Meldung des Verdachts auf Nebenwirkungen nach der Zulassung ist von gr</w:t>
            </w:r>
            <w:r w:rsidRPr="001D0199">
              <w:t>o</w:t>
            </w:r>
            <w:r w:rsidRPr="001D0199">
              <w:t>ßer Wichtigkeit. Sie ermöglicht eine kontinuierliche Überwachung des Nutzen-Risiko-Verhältnisses des Arzneimittels. Angehörige von Gesundheitsberufen sind aufgefo</w:t>
            </w:r>
            <w:r w:rsidRPr="001D0199">
              <w:t>r</w:t>
            </w:r>
            <w:r w:rsidRPr="001D0199">
              <w:t>dert, jeden Verdachtsfall einer Nebenwirkung dem Bundesinstitut für Impfstoffe und biomedizinische Arzneimittel, Paul-Ehrlich-Institut, Paul-Ehrlich-Straße 51 – 59, 63225 Langen, Telefon +49 6 10 37 70, Telefax: +49 61 03 77 12 34, Webs</w:t>
            </w:r>
            <w:r w:rsidRPr="001D0199">
              <w:t>i</w:t>
            </w:r>
            <w:r w:rsidRPr="001D0199">
              <w:t>te: www.pei.de anzuzeigen.</w:t>
            </w:r>
          </w:p>
          <w:p w:rsidR="00561F3B" w:rsidRPr="001D0199" w:rsidRDefault="00561F3B" w:rsidP="009E69E2">
            <w:pPr>
              <w:ind w:left="283"/>
              <w:jc w:val="both"/>
              <w:rPr>
                <w:color w:val="00B0F0"/>
              </w:rPr>
            </w:pPr>
          </w:p>
          <w:p w:rsidR="00561F3B" w:rsidRPr="001D0199" w:rsidRDefault="00561F3B" w:rsidP="009E69E2">
            <w:pPr>
              <w:ind w:left="283"/>
              <w:jc w:val="both"/>
            </w:pPr>
            <w:r w:rsidRPr="001D0199">
              <w:t>Patienten sind darüber zu informieren, dass sie sich an Ihren Arzt oder das medizin</w:t>
            </w:r>
            <w:r w:rsidRPr="001D0199">
              <w:t>i</w:t>
            </w:r>
            <w:r w:rsidRPr="001D0199">
              <w:t>sche Fachpersonal wenden sollen, wenn sie Nebenwirkungen bemerken. Dies gilt auch für Nebenwirkungen, die nicht in dieser Gebrauchsinformation und Fachinfo</w:t>
            </w:r>
            <w:r w:rsidRPr="001D0199">
              <w:t>r</w:t>
            </w:r>
            <w:r w:rsidRPr="001D0199">
              <w:t>mation angegeben sind. Patienten können Nebenwirkungen auch direkt dem Paul-Ehrlich-Institut anzeigen. Indem Patienten Nebenwirkungen melden, können sie dazu beitragen, dass mehr Informationen über die Sicherheit dieses Arzneimittels zur Ve</w:t>
            </w:r>
            <w:r w:rsidRPr="001D0199">
              <w:t>r</w:t>
            </w:r>
            <w:r w:rsidRPr="001D0199">
              <w:t>fügung gestellt werden.</w:t>
            </w:r>
          </w:p>
          <w:p w:rsidR="00561F3B" w:rsidRPr="001D0199" w:rsidRDefault="00561F3B" w:rsidP="009E69E2">
            <w:pPr>
              <w:pStyle w:val="StandardBlocksatz"/>
            </w:pPr>
          </w:p>
          <w:p w:rsidR="00561F3B" w:rsidRPr="001D0199" w:rsidRDefault="00561F3B" w:rsidP="009E69E2">
            <w:pPr>
              <w:jc w:val="both"/>
              <w:rPr>
                <w:rFonts w:cs="Arial"/>
              </w:rPr>
            </w:pPr>
          </w:p>
        </w:tc>
      </w:tr>
      <w:tr w:rsidR="00561F3B" w:rsidRPr="00D67596" w:rsidTr="009E69E2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561F3B" w:rsidRPr="001D0199" w:rsidRDefault="00561F3B" w:rsidP="009E69E2">
            <w:pPr>
              <w:jc w:val="both"/>
              <w:rPr>
                <w:rFonts w:cs="Arial"/>
                <w:b/>
              </w:rPr>
            </w:pPr>
            <w:r w:rsidRPr="001D0199">
              <w:rPr>
                <w:rFonts w:cs="Arial"/>
                <w:b/>
              </w:rPr>
              <w:t>6.</w:t>
            </w:r>
          </w:p>
        </w:tc>
        <w:tc>
          <w:tcPr>
            <w:tcW w:w="9285" w:type="dxa"/>
          </w:tcPr>
          <w:p w:rsidR="00561F3B" w:rsidRPr="001D0199" w:rsidRDefault="00561F3B" w:rsidP="009E69E2">
            <w:pPr>
              <w:jc w:val="both"/>
              <w:rPr>
                <w:rFonts w:cs="Arial"/>
                <w:b/>
              </w:rPr>
            </w:pPr>
            <w:r w:rsidRPr="001D0199">
              <w:rPr>
                <w:rFonts w:cs="Arial"/>
                <w:b/>
              </w:rPr>
              <w:t>Pharmakologische Eigenschaften</w:t>
            </w:r>
          </w:p>
          <w:p w:rsidR="00561F3B" w:rsidRPr="001D0199" w:rsidRDefault="00561F3B" w:rsidP="009E69E2">
            <w:pPr>
              <w:jc w:val="both"/>
              <w:rPr>
                <w:rFonts w:cs="Arial"/>
              </w:rPr>
            </w:pPr>
            <w:r w:rsidRPr="001D0199">
              <w:rPr>
                <w:rFonts w:cs="Arial"/>
              </w:rPr>
              <w:t>Das Plasma einer Einzelblutspende in Stabilisatorlösung enthält neben den Geri</w:t>
            </w:r>
            <w:r w:rsidRPr="001D0199">
              <w:rPr>
                <w:rFonts w:cs="Arial"/>
              </w:rPr>
              <w:t>n</w:t>
            </w:r>
            <w:r w:rsidRPr="001D0199">
              <w:rPr>
                <w:rFonts w:cs="Arial"/>
              </w:rPr>
              <w:t xml:space="preserve">nungs- und Fibrinolyseproenzymen auch deren Inhibitoren. Die Proteinkonzentration ist abhängig vom Eiweißspiegel des einzelnen </w:t>
            </w:r>
            <w:smartTag w:uri="urn:schemas-microsoft-com:office:smarttags" w:element="PersonName">
              <w:r w:rsidRPr="001D0199">
                <w:rPr>
                  <w:rFonts w:cs="Arial"/>
                </w:rPr>
                <w:t>Blutspende</w:t>
              </w:r>
            </w:smartTag>
            <w:r w:rsidRPr="001D0199">
              <w:rPr>
                <w:rFonts w:cs="Arial"/>
              </w:rPr>
              <w:t>rs. Deren Grenzwert für die Plasmapherese ist mit mindestens 60 g/l im Serum des Spenders festgelegt. Die A</w:t>
            </w:r>
            <w:r w:rsidRPr="001D0199">
              <w:rPr>
                <w:rFonts w:cs="Arial"/>
              </w:rPr>
              <w:t>k</w:t>
            </w:r>
            <w:r w:rsidRPr="001D0199">
              <w:rPr>
                <w:rFonts w:cs="Arial"/>
              </w:rPr>
              <w:t>tivität der im aufgetauten Plasma gemessenen Enzyme und Inhibitoren unterliegt i</w:t>
            </w:r>
            <w:r w:rsidRPr="001D0199">
              <w:rPr>
                <w:rFonts w:cs="Arial"/>
              </w:rPr>
              <w:t>n</w:t>
            </w:r>
            <w:r w:rsidRPr="001D0199">
              <w:rPr>
                <w:rFonts w:cs="Arial"/>
              </w:rPr>
              <w:t xml:space="preserve">dividuellen Schwankungen und muss mindestens 70% ihrer </w:t>
            </w:r>
            <w:r w:rsidRPr="001D0199">
              <w:rPr>
                <w:rFonts w:cs="Arial"/>
              </w:rPr>
              <w:lastRenderedPageBreak/>
              <w:t>ursprünglichen A</w:t>
            </w:r>
            <w:r w:rsidRPr="001D0199">
              <w:rPr>
                <w:rFonts w:cs="Arial"/>
              </w:rPr>
              <w:t>k</w:t>
            </w:r>
            <w:r w:rsidRPr="001D0199">
              <w:rPr>
                <w:rFonts w:cs="Arial"/>
              </w:rPr>
              <w:t>tivität betragen. Gefrorenes Frischplasma enthält weder körpereigene Substanzen in u</w:t>
            </w:r>
            <w:r w:rsidRPr="001D0199">
              <w:rPr>
                <w:rFonts w:cs="Arial"/>
              </w:rPr>
              <w:t>n</w:t>
            </w:r>
            <w:r w:rsidRPr="001D0199">
              <w:rPr>
                <w:rFonts w:cs="Arial"/>
              </w:rPr>
              <w:t>physiologischer Konzentration noch körperfremde Stoffe.</w:t>
            </w:r>
          </w:p>
          <w:p w:rsidR="00561F3B" w:rsidRPr="001D0199" w:rsidRDefault="00561F3B" w:rsidP="009E69E2">
            <w:pPr>
              <w:jc w:val="both"/>
              <w:rPr>
                <w:rFonts w:cs="Arial"/>
              </w:rPr>
            </w:pPr>
          </w:p>
        </w:tc>
      </w:tr>
      <w:tr w:rsidR="00561F3B" w:rsidRPr="00D67596" w:rsidTr="009E69E2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561F3B" w:rsidRPr="001D0199" w:rsidRDefault="00561F3B" w:rsidP="009E69E2">
            <w:pPr>
              <w:jc w:val="both"/>
              <w:rPr>
                <w:rFonts w:cs="Arial"/>
                <w:b/>
              </w:rPr>
            </w:pPr>
            <w:r w:rsidRPr="001D0199">
              <w:rPr>
                <w:rFonts w:cs="Arial"/>
                <w:b/>
              </w:rPr>
              <w:lastRenderedPageBreak/>
              <w:t>7.</w:t>
            </w:r>
          </w:p>
        </w:tc>
        <w:tc>
          <w:tcPr>
            <w:tcW w:w="9285" w:type="dxa"/>
          </w:tcPr>
          <w:p w:rsidR="00561F3B" w:rsidRPr="001D0199" w:rsidRDefault="00561F3B" w:rsidP="009E69E2">
            <w:pPr>
              <w:jc w:val="both"/>
              <w:rPr>
                <w:rFonts w:cs="Arial"/>
                <w:b/>
              </w:rPr>
            </w:pPr>
            <w:r w:rsidRPr="001D0199">
              <w:rPr>
                <w:rFonts w:cs="Arial"/>
                <w:b/>
              </w:rPr>
              <w:t>Weitere Hinweise</w:t>
            </w:r>
          </w:p>
          <w:p w:rsidR="00561F3B" w:rsidRPr="001D0199" w:rsidRDefault="00561F3B" w:rsidP="009E69E2">
            <w:pPr>
              <w:jc w:val="both"/>
              <w:rPr>
                <w:rFonts w:cs="Arial"/>
                <w:b/>
              </w:rPr>
            </w:pPr>
            <w:r w:rsidRPr="001D0199">
              <w:rPr>
                <w:rFonts w:cs="Arial"/>
                <w:b/>
              </w:rPr>
              <w:t>a) Angaben zur Aufbewahrung und Haltbarkeit</w:t>
            </w:r>
          </w:p>
          <w:p w:rsidR="00561F3B" w:rsidRPr="001D0199" w:rsidRDefault="00561F3B" w:rsidP="00561F3B">
            <w:pPr>
              <w:numPr>
                <w:ilvl w:val="0"/>
                <w:numId w:val="1"/>
              </w:numPr>
              <w:tabs>
                <w:tab w:val="left" w:pos="567"/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</w:tabs>
              <w:jc w:val="both"/>
              <w:rPr>
                <w:rFonts w:cs="Arial"/>
                <w:b/>
              </w:rPr>
            </w:pPr>
            <w:r w:rsidRPr="001D0199">
              <w:rPr>
                <w:rFonts w:cs="Arial"/>
              </w:rPr>
              <w:t>Gefrorenes Frischplasma „GFPQ Citrat (UKE)“ ist 24 Monate bei -37° bis -73°C bis zu dem auf dem Etikett angegebenen Verfalldatum haltbar. (Kühlkette b</w:t>
            </w:r>
            <w:r w:rsidRPr="001D0199">
              <w:rPr>
                <w:rFonts w:cs="Arial"/>
              </w:rPr>
              <w:t>e</w:t>
            </w:r>
            <w:r w:rsidRPr="001D0199">
              <w:rPr>
                <w:rFonts w:cs="Arial"/>
              </w:rPr>
              <w:t>achten).</w:t>
            </w:r>
          </w:p>
          <w:p w:rsidR="00561F3B" w:rsidRPr="001D0199" w:rsidRDefault="00561F3B" w:rsidP="00561F3B">
            <w:pPr>
              <w:numPr>
                <w:ilvl w:val="0"/>
                <w:numId w:val="1"/>
              </w:numPr>
              <w:tabs>
                <w:tab w:val="left" w:pos="567"/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</w:tabs>
              <w:jc w:val="both"/>
              <w:rPr>
                <w:rFonts w:cs="Arial"/>
                <w:b/>
              </w:rPr>
            </w:pPr>
            <w:r w:rsidRPr="001D0199">
              <w:rPr>
                <w:rFonts w:cs="Arial"/>
              </w:rPr>
              <w:t xml:space="preserve">Plasma darf nach Ablauf des Verfalldatums nicht mehr angewendet werden. </w:t>
            </w:r>
          </w:p>
          <w:p w:rsidR="00561F3B" w:rsidRPr="001D0199" w:rsidRDefault="00561F3B" w:rsidP="00561F3B">
            <w:pPr>
              <w:numPr>
                <w:ilvl w:val="0"/>
                <w:numId w:val="1"/>
              </w:numPr>
              <w:tabs>
                <w:tab w:val="left" w:pos="567"/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</w:tabs>
              <w:jc w:val="both"/>
              <w:rPr>
                <w:rFonts w:cs="Arial"/>
                <w:b/>
              </w:rPr>
            </w:pPr>
            <w:r w:rsidRPr="001D0199">
              <w:rPr>
                <w:rFonts w:cs="Arial"/>
              </w:rPr>
              <w:t>Gefrorenes Plasma muss unmittelbar vor der Infusion bei Temperaturen nicht über 37°C aufgetaut werden. Alle Proteinniederschläge (Kryoproteine) müssen gelöst sein, deshalb ist während des Auftauvorgangs auf gute Durchmischung des Be</w:t>
            </w:r>
            <w:r w:rsidRPr="001D0199">
              <w:rPr>
                <w:rFonts w:cs="Arial"/>
              </w:rPr>
              <w:t>u</w:t>
            </w:r>
            <w:r w:rsidRPr="001D0199">
              <w:rPr>
                <w:rFonts w:cs="Arial"/>
              </w:rPr>
              <w:t xml:space="preserve">telinhaltes zu achten, Schütteln ist zu vermeiden. </w:t>
            </w:r>
          </w:p>
          <w:p w:rsidR="00561F3B" w:rsidRPr="001D0199" w:rsidRDefault="00561F3B" w:rsidP="00561F3B">
            <w:pPr>
              <w:numPr>
                <w:ilvl w:val="0"/>
                <w:numId w:val="1"/>
              </w:numPr>
              <w:tabs>
                <w:tab w:val="left" w:pos="567"/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</w:tabs>
              <w:jc w:val="both"/>
              <w:rPr>
                <w:rFonts w:cs="Arial"/>
              </w:rPr>
            </w:pPr>
            <w:r w:rsidRPr="001D0199">
              <w:rPr>
                <w:rFonts w:cs="Arial"/>
              </w:rPr>
              <w:t>Zum Auftauen der Plasmen dürfen nur für diesen Zweck geeignete Geräte eing</w:t>
            </w:r>
            <w:r w:rsidRPr="001D0199">
              <w:rPr>
                <w:rFonts w:cs="Arial"/>
              </w:rPr>
              <w:t>e</w:t>
            </w:r>
            <w:r w:rsidRPr="001D0199">
              <w:rPr>
                <w:rFonts w:cs="Arial"/>
              </w:rPr>
              <w:t>setzt werden.</w:t>
            </w:r>
          </w:p>
          <w:p w:rsidR="00561F3B" w:rsidRPr="001D0199" w:rsidRDefault="00561F3B" w:rsidP="00561F3B">
            <w:pPr>
              <w:numPr>
                <w:ilvl w:val="0"/>
                <w:numId w:val="1"/>
              </w:numPr>
              <w:tabs>
                <w:tab w:val="left" w:pos="567"/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</w:tabs>
              <w:jc w:val="both"/>
              <w:rPr>
                <w:rFonts w:cs="Arial"/>
                <w:b/>
              </w:rPr>
            </w:pPr>
            <w:r w:rsidRPr="001D0199">
              <w:rPr>
                <w:rFonts w:cs="Arial"/>
              </w:rPr>
              <w:t>Das Risiko der bakteriellen Kontamination des GFP beim Auftauen muss vermi</w:t>
            </w:r>
            <w:r w:rsidRPr="001D0199">
              <w:rPr>
                <w:rFonts w:cs="Arial"/>
              </w:rPr>
              <w:t>e</w:t>
            </w:r>
            <w:r w:rsidRPr="001D0199">
              <w:rPr>
                <w:rFonts w:cs="Arial"/>
              </w:rPr>
              <w:t xml:space="preserve">den werden. Der tiefgefrorene Beutel ist zerbrechlich. </w:t>
            </w:r>
          </w:p>
          <w:p w:rsidR="00561F3B" w:rsidRPr="001D0199" w:rsidRDefault="00561F3B" w:rsidP="00561F3B">
            <w:pPr>
              <w:numPr>
                <w:ilvl w:val="0"/>
                <w:numId w:val="1"/>
              </w:numPr>
              <w:tabs>
                <w:tab w:val="left" w:pos="567"/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</w:tabs>
              <w:jc w:val="both"/>
              <w:rPr>
                <w:rFonts w:cs="Arial"/>
                <w:b/>
              </w:rPr>
            </w:pPr>
            <w:r w:rsidRPr="001D0199">
              <w:rPr>
                <w:rFonts w:cs="Arial"/>
              </w:rPr>
              <w:t>Ein durch das Transfusionsbesteck geöffneter Plasmabeutel muss unverzüglich, spätestens jedoch innerhalb von 6 Stunden transfundiert werden.</w:t>
            </w:r>
          </w:p>
          <w:p w:rsidR="00561F3B" w:rsidRPr="001D0199" w:rsidRDefault="00561F3B" w:rsidP="00561F3B">
            <w:pPr>
              <w:numPr>
                <w:ilvl w:val="0"/>
                <w:numId w:val="1"/>
              </w:numPr>
              <w:tabs>
                <w:tab w:val="left" w:pos="567"/>
                <w:tab w:val="left" w:pos="1134"/>
                <w:tab w:val="left" w:pos="2268"/>
                <w:tab w:val="left" w:pos="3402"/>
                <w:tab w:val="left" w:pos="4536"/>
                <w:tab w:val="left" w:pos="5670"/>
                <w:tab w:val="left" w:pos="6804"/>
                <w:tab w:val="left" w:pos="7938"/>
              </w:tabs>
              <w:jc w:val="both"/>
              <w:rPr>
                <w:rFonts w:cs="Arial"/>
              </w:rPr>
            </w:pPr>
            <w:r w:rsidRPr="001D0199">
              <w:rPr>
                <w:rFonts w:cs="Arial"/>
              </w:rPr>
              <w:t>Aufgetautes Plasma darf nicht wieder für Transfusionszwecke eingefroren werden.</w:t>
            </w:r>
          </w:p>
        </w:tc>
      </w:tr>
      <w:tr w:rsidR="00561F3B" w:rsidRPr="00D67596" w:rsidTr="009E69E2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561F3B" w:rsidRPr="001D0199" w:rsidRDefault="00561F3B" w:rsidP="009E69E2">
            <w:pPr>
              <w:jc w:val="both"/>
              <w:rPr>
                <w:rFonts w:cs="Arial"/>
                <w:b/>
              </w:rPr>
            </w:pPr>
          </w:p>
        </w:tc>
        <w:tc>
          <w:tcPr>
            <w:tcW w:w="9285" w:type="dxa"/>
          </w:tcPr>
          <w:p w:rsidR="00561F3B" w:rsidRPr="001D0199" w:rsidRDefault="00561F3B" w:rsidP="009E69E2">
            <w:pPr>
              <w:jc w:val="both"/>
              <w:rPr>
                <w:rFonts w:cs="Arial"/>
                <w:b/>
              </w:rPr>
            </w:pPr>
          </w:p>
          <w:p w:rsidR="00561F3B" w:rsidRPr="001D0199" w:rsidRDefault="00561F3B" w:rsidP="009E69E2">
            <w:pPr>
              <w:jc w:val="both"/>
              <w:rPr>
                <w:rFonts w:cs="Arial"/>
                <w:b/>
              </w:rPr>
            </w:pPr>
            <w:r w:rsidRPr="001D0199">
              <w:rPr>
                <w:rFonts w:cs="Arial"/>
                <w:b/>
              </w:rPr>
              <w:t>b) Optische Prüfung</w:t>
            </w:r>
          </w:p>
          <w:p w:rsidR="00561F3B" w:rsidRPr="001D0199" w:rsidRDefault="00561F3B" w:rsidP="009E69E2">
            <w:pPr>
              <w:jc w:val="both"/>
              <w:rPr>
                <w:rFonts w:cs="Arial"/>
                <w:b/>
              </w:rPr>
            </w:pPr>
            <w:r w:rsidRPr="001D0199">
              <w:rPr>
                <w:rFonts w:cs="Arial"/>
              </w:rPr>
              <w:t>Unmittelbar vor der Transfusion muss jeder Plasmabeutel einer optischen Qualität</w:t>
            </w:r>
            <w:r w:rsidRPr="001D0199">
              <w:rPr>
                <w:rFonts w:cs="Arial"/>
              </w:rPr>
              <w:t>s</w:t>
            </w:r>
            <w:r w:rsidRPr="001D0199">
              <w:rPr>
                <w:rFonts w:cs="Arial"/>
              </w:rPr>
              <w:t>prüfung unterzogen werden. Der Inhalt beschädigter Beutel (z.B. Risse in der Folie) darf auf keinen Fall zur Transfusion verwendet we</w:t>
            </w:r>
            <w:r w:rsidRPr="001D0199">
              <w:rPr>
                <w:rFonts w:cs="Arial"/>
              </w:rPr>
              <w:t>r</w:t>
            </w:r>
            <w:r w:rsidRPr="001D0199">
              <w:rPr>
                <w:rFonts w:cs="Arial"/>
              </w:rPr>
              <w:t xml:space="preserve">den. </w:t>
            </w:r>
          </w:p>
          <w:p w:rsidR="00561F3B" w:rsidRPr="001D0199" w:rsidRDefault="00561F3B" w:rsidP="009E69E2">
            <w:pPr>
              <w:jc w:val="both"/>
              <w:rPr>
                <w:rFonts w:cs="Arial"/>
              </w:rPr>
            </w:pPr>
          </w:p>
        </w:tc>
      </w:tr>
      <w:tr w:rsidR="00561F3B" w:rsidRPr="00D67596" w:rsidTr="009E69E2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561F3B" w:rsidRPr="001D0199" w:rsidRDefault="00561F3B" w:rsidP="009E69E2">
            <w:pPr>
              <w:jc w:val="both"/>
              <w:rPr>
                <w:rFonts w:cs="Arial"/>
                <w:b/>
              </w:rPr>
            </w:pPr>
          </w:p>
        </w:tc>
        <w:tc>
          <w:tcPr>
            <w:tcW w:w="9285" w:type="dxa"/>
          </w:tcPr>
          <w:p w:rsidR="00561F3B" w:rsidRPr="001D0199" w:rsidRDefault="00561F3B" w:rsidP="009E69E2">
            <w:pPr>
              <w:jc w:val="both"/>
              <w:rPr>
                <w:rFonts w:cs="Arial"/>
                <w:b/>
              </w:rPr>
            </w:pPr>
            <w:r w:rsidRPr="001D0199">
              <w:rPr>
                <w:rFonts w:cs="Arial"/>
                <w:b/>
              </w:rPr>
              <w:t>c) Zusammensetzung des Fertigarzneimittels</w:t>
            </w:r>
          </w:p>
          <w:p w:rsidR="00561F3B" w:rsidRPr="001D0199" w:rsidRDefault="00561F3B" w:rsidP="009E69E2">
            <w:pPr>
              <w:jc w:val="both"/>
              <w:rPr>
                <w:rFonts w:cs="Arial"/>
                <w:b/>
              </w:rPr>
            </w:pPr>
          </w:p>
          <w:p w:rsidR="00561F3B" w:rsidRPr="001D0199" w:rsidRDefault="00561F3B" w:rsidP="009E69E2">
            <w:pPr>
              <w:jc w:val="both"/>
              <w:rPr>
                <w:rFonts w:cs="Arial"/>
                <w:b/>
              </w:rPr>
            </w:pPr>
            <w:r w:rsidRPr="001D0199">
              <w:rPr>
                <w:rFonts w:cs="Arial"/>
                <w:b/>
              </w:rPr>
              <w:t>Wirkstoffe (nach Art und Menge):</w:t>
            </w:r>
          </w:p>
          <w:p w:rsidR="00561F3B" w:rsidRPr="001D0199" w:rsidRDefault="00561F3B" w:rsidP="009E69E2">
            <w:pPr>
              <w:jc w:val="both"/>
              <w:rPr>
                <w:rFonts w:cs="Arial"/>
              </w:rPr>
            </w:pPr>
            <w:r w:rsidRPr="001D0199">
              <w:rPr>
                <w:rFonts w:cs="Arial"/>
              </w:rPr>
              <w:t>0,88 bis 0,91 ml/ml gerinnungsaktives Humanplasma aus einer einzelnen Vollblut- bzw. Apher</w:t>
            </w:r>
            <w:r w:rsidRPr="001D0199">
              <w:rPr>
                <w:rFonts w:cs="Arial"/>
              </w:rPr>
              <w:t>e</w:t>
            </w:r>
            <w:r w:rsidRPr="001D0199">
              <w:rPr>
                <w:rFonts w:cs="Arial"/>
              </w:rPr>
              <w:t xml:space="preserve">sespende </w:t>
            </w:r>
          </w:p>
          <w:p w:rsidR="00561F3B" w:rsidRPr="001D0199" w:rsidRDefault="00561F3B" w:rsidP="009E69E2">
            <w:pPr>
              <w:jc w:val="both"/>
              <w:rPr>
                <w:rFonts w:cs="Arial"/>
                <w:b/>
              </w:rPr>
            </w:pPr>
          </w:p>
        </w:tc>
      </w:tr>
      <w:tr w:rsidR="00561F3B" w:rsidRPr="00D67596" w:rsidTr="009E69E2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561F3B" w:rsidRPr="001D0199" w:rsidRDefault="00561F3B" w:rsidP="009E69E2">
            <w:pPr>
              <w:jc w:val="both"/>
              <w:rPr>
                <w:rFonts w:cs="Arial"/>
                <w:b/>
              </w:rPr>
            </w:pPr>
          </w:p>
        </w:tc>
        <w:tc>
          <w:tcPr>
            <w:tcW w:w="9285" w:type="dxa"/>
          </w:tcPr>
          <w:p w:rsidR="00561F3B" w:rsidRPr="001D0199" w:rsidRDefault="00561F3B" w:rsidP="009E69E2">
            <w:pPr>
              <w:jc w:val="both"/>
              <w:rPr>
                <w:rFonts w:cs="Arial"/>
                <w:u w:val="single"/>
              </w:rPr>
            </w:pPr>
            <w:r w:rsidRPr="001D0199">
              <w:rPr>
                <w:rFonts w:cs="Arial"/>
                <w:b/>
              </w:rPr>
              <w:t>Sonstige Bestandteile:</w:t>
            </w:r>
          </w:p>
          <w:p w:rsidR="00561F3B" w:rsidRPr="001D0199" w:rsidRDefault="00561F3B" w:rsidP="009E69E2">
            <w:pPr>
              <w:jc w:val="both"/>
              <w:rPr>
                <w:rFonts w:cs="Arial"/>
              </w:rPr>
            </w:pPr>
            <w:r w:rsidRPr="001D0199">
              <w:rPr>
                <w:rFonts w:cs="Arial"/>
              </w:rPr>
              <w:t>1 ml GFPQ Citrat (UKE) enthält:</w:t>
            </w:r>
          </w:p>
          <w:p w:rsidR="00561F3B" w:rsidRPr="001D0199" w:rsidRDefault="00561F3B" w:rsidP="009E69E2">
            <w:pPr>
              <w:jc w:val="both"/>
              <w:rPr>
                <w:rFonts w:cs="Arial"/>
              </w:rPr>
            </w:pPr>
            <w:r w:rsidRPr="001D0199">
              <w:rPr>
                <w:rFonts w:cs="Arial"/>
              </w:rPr>
              <w:t>- Antikoagulanslösung Citrat: 0,09 – 0,12 ml</w:t>
            </w:r>
          </w:p>
          <w:p w:rsidR="00561F3B" w:rsidRPr="001D0199" w:rsidRDefault="00561F3B" w:rsidP="009E69E2">
            <w:pPr>
              <w:jc w:val="both"/>
              <w:rPr>
                <w:rFonts w:cs="Arial"/>
              </w:rPr>
            </w:pPr>
            <w:r w:rsidRPr="001D0199">
              <w:rPr>
                <w:rFonts w:cs="Arial"/>
              </w:rPr>
              <w:t>1 ml Antikoagulanslösung Citrat enthält: Natriumcitrat-Dihydrat 20 mg; Zitronensä</w:t>
            </w:r>
            <w:r w:rsidRPr="001D0199">
              <w:rPr>
                <w:rFonts w:cs="Arial"/>
              </w:rPr>
              <w:t>u</w:t>
            </w:r>
            <w:r w:rsidRPr="001D0199">
              <w:rPr>
                <w:rFonts w:cs="Arial"/>
              </w:rPr>
              <w:t>re zur pH-Einstellung</w:t>
            </w:r>
          </w:p>
          <w:p w:rsidR="00561F3B" w:rsidRPr="001D0199" w:rsidRDefault="00561F3B" w:rsidP="009E69E2">
            <w:pPr>
              <w:jc w:val="both"/>
              <w:rPr>
                <w:rFonts w:cs="Arial"/>
              </w:rPr>
            </w:pPr>
            <w:r w:rsidRPr="001D0199">
              <w:rPr>
                <w:rFonts w:cs="Arial"/>
              </w:rPr>
              <w:t>- Erythrozyten: weniger als 6 x 10</w:t>
            </w:r>
            <w:r w:rsidRPr="001D0199">
              <w:rPr>
                <w:rFonts w:cs="Arial"/>
                <w:vertAlign w:val="superscript"/>
              </w:rPr>
              <w:t>6</w:t>
            </w:r>
          </w:p>
          <w:p w:rsidR="00561F3B" w:rsidRPr="001D0199" w:rsidRDefault="00561F3B" w:rsidP="009E69E2">
            <w:pPr>
              <w:jc w:val="both"/>
              <w:rPr>
                <w:rFonts w:cs="Arial"/>
              </w:rPr>
            </w:pPr>
            <w:r w:rsidRPr="001D0199">
              <w:rPr>
                <w:rFonts w:cs="Arial"/>
              </w:rPr>
              <w:t>- Leukozyten: weniger als 0,1 x 10</w:t>
            </w:r>
            <w:r w:rsidRPr="001D0199">
              <w:rPr>
                <w:rFonts w:cs="Arial"/>
                <w:vertAlign w:val="superscript"/>
              </w:rPr>
              <w:t>6</w:t>
            </w:r>
          </w:p>
          <w:p w:rsidR="00561F3B" w:rsidRPr="001D0199" w:rsidRDefault="00561F3B" w:rsidP="009E69E2">
            <w:pPr>
              <w:jc w:val="both"/>
              <w:rPr>
                <w:rFonts w:cs="Arial"/>
              </w:rPr>
            </w:pPr>
            <w:r w:rsidRPr="001D0199">
              <w:rPr>
                <w:rFonts w:cs="Arial"/>
              </w:rPr>
              <w:t>- Thrombozyten: weniger als 50 x 10</w:t>
            </w:r>
            <w:r w:rsidRPr="001D0199">
              <w:rPr>
                <w:rFonts w:cs="Arial"/>
                <w:vertAlign w:val="superscript"/>
              </w:rPr>
              <w:t>6</w:t>
            </w:r>
          </w:p>
          <w:p w:rsidR="00561F3B" w:rsidRPr="001D0199" w:rsidRDefault="00561F3B" w:rsidP="009E69E2">
            <w:pPr>
              <w:jc w:val="both"/>
              <w:rPr>
                <w:rFonts w:cs="Arial"/>
              </w:rPr>
            </w:pPr>
          </w:p>
        </w:tc>
      </w:tr>
      <w:tr w:rsidR="00561F3B" w:rsidRPr="00D67596" w:rsidTr="009E69E2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561F3B" w:rsidRPr="001D0199" w:rsidRDefault="00561F3B" w:rsidP="009E69E2">
            <w:pPr>
              <w:jc w:val="both"/>
              <w:rPr>
                <w:rFonts w:cs="Arial"/>
                <w:b/>
              </w:rPr>
            </w:pPr>
          </w:p>
        </w:tc>
        <w:tc>
          <w:tcPr>
            <w:tcW w:w="9285" w:type="dxa"/>
          </w:tcPr>
          <w:p w:rsidR="00561F3B" w:rsidRPr="001D0199" w:rsidRDefault="00561F3B" w:rsidP="009E69E2">
            <w:pPr>
              <w:jc w:val="both"/>
              <w:rPr>
                <w:rFonts w:cs="Arial"/>
                <w:b/>
              </w:rPr>
            </w:pPr>
            <w:r w:rsidRPr="001D0199">
              <w:rPr>
                <w:rFonts w:cs="Arial"/>
                <w:b/>
              </w:rPr>
              <w:t>d) Darreichungsform und Inhalt, Behältnis</w:t>
            </w:r>
          </w:p>
          <w:p w:rsidR="00561F3B" w:rsidRPr="001D0199" w:rsidRDefault="00561F3B" w:rsidP="009E69E2">
            <w:pPr>
              <w:jc w:val="both"/>
              <w:rPr>
                <w:rFonts w:cs="Arial"/>
              </w:rPr>
            </w:pPr>
            <w:r w:rsidRPr="001D0199">
              <w:rPr>
                <w:rFonts w:cs="Arial"/>
              </w:rPr>
              <w:t>170 bis 330 ml Infusionslösung im Kunststoffbeutel mit CE-Zertifikat</w:t>
            </w:r>
          </w:p>
          <w:p w:rsidR="00561F3B" w:rsidRPr="001D0199" w:rsidRDefault="00561F3B" w:rsidP="009E69E2">
            <w:pPr>
              <w:jc w:val="both"/>
              <w:rPr>
                <w:rFonts w:cs="Arial"/>
              </w:rPr>
            </w:pPr>
            <w:r w:rsidRPr="001D0199">
              <w:rPr>
                <w:rFonts w:cs="Arial"/>
              </w:rPr>
              <w:t>Volumen der Kleinabfüllung: 45-55 ml</w:t>
            </w:r>
          </w:p>
          <w:p w:rsidR="00561F3B" w:rsidRPr="001D0199" w:rsidRDefault="00561F3B" w:rsidP="009E69E2">
            <w:pPr>
              <w:jc w:val="both"/>
              <w:rPr>
                <w:rFonts w:cs="Arial"/>
              </w:rPr>
            </w:pPr>
          </w:p>
        </w:tc>
      </w:tr>
      <w:tr w:rsidR="00561F3B" w:rsidRPr="00D67596" w:rsidTr="009E69E2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561F3B" w:rsidRPr="001D0199" w:rsidRDefault="00561F3B" w:rsidP="009E69E2">
            <w:pPr>
              <w:jc w:val="both"/>
              <w:rPr>
                <w:rFonts w:cs="Arial"/>
                <w:b/>
              </w:rPr>
            </w:pPr>
          </w:p>
        </w:tc>
        <w:tc>
          <w:tcPr>
            <w:tcW w:w="9285" w:type="dxa"/>
          </w:tcPr>
          <w:p w:rsidR="00561F3B" w:rsidRPr="001D0199" w:rsidRDefault="00561F3B" w:rsidP="009E69E2">
            <w:pPr>
              <w:jc w:val="both"/>
              <w:rPr>
                <w:rFonts w:cs="Arial"/>
                <w:b/>
              </w:rPr>
            </w:pPr>
            <w:r w:rsidRPr="001D0199">
              <w:rPr>
                <w:rFonts w:cs="Arial"/>
                <w:b/>
              </w:rPr>
              <w:t xml:space="preserve">e) Angaben zum pharmazeutischen Unternehmer/Inhaber der Zulassung </w:t>
            </w:r>
          </w:p>
          <w:p w:rsidR="00561F3B" w:rsidRPr="001D0199" w:rsidRDefault="00561F3B" w:rsidP="009E69E2">
            <w:pPr>
              <w:jc w:val="both"/>
              <w:rPr>
                <w:rFonts w:cs="Arial"/>
              </w:rPr>
            </w:pPr>
            <w:r w:rsidRPr="001D0199">
              <w:rPr>
                <w:rFonts w:cs="Arial"/>
              </w:rPr>
              <w:t>Universitätsklinikum Hamburg-Eppendorf</w:t>
            </w:r>
          </w:p>
          <w:p w:rsidR="00561F3B" w:rsidRPr="001D0199" w:rsidRDefault="00561F3B" w:rsidP="009E69E2">
            <w:pPr>
              <w:jc w:val="both"/>
              <w:rPr>
                <w:rFonts w:cs="Arial"/>
              </w:rPr>
            </w:pPr>
            <w:r w:rsidRPr="001D0199">
              <w:rPr>
                <w:rFonts w:cs="Arial"/>
              </w:rPr>
              <w:t>Martinistraße 52</w:t>
            </w:r>
          </w:p>
          <w:p w:rsidR="00561F3B" w:rsidRPr="001D0199" w:rsidRDefault="00561F3B" w:rsidP="009E69E2">
            <w:pPr>
              <w:jc w:val="both"/>
              <w:rPr>
                <w:rFonts w:cs="Arial"/>
                <w:b/>
              </w:rPr>
            </w:pPr>
            <w:r w:rsidRPr="001D0199">
              <w:rPr>
                <w:rFonts w:cs="Arial"/>
              </w:rPr>
              <w:t>D-20246 Hamburg</w:t>
            </w:r>
          </w:p>
          <w:p w:rsidR="00561F3B" w:rsidRPr="001D0199" w:rsidRDefault="00561F3B" w:rsidP="009E69E2">
            <w:pPr>
              <w:jc w:val="both"/>
              <w:rPr>
                <w:rFonts w:cs="Arial"/>
                <w:b/>
              </w:rPr>
            </w:pPr>
          </w:p>
        </w:tc>
      </w:tr>
      <w:tr w:rsidR="00561F3B" w:rsidRPr="00D67596" w:rsidTr="009E69E2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561F3B" w:rsidRPr="001D0199" w:rsidRDefault="00561F3B" w:rsidP="009E69E2">
            <w:pPr>
              <w:jc w:val="both"/>
              <w:rPr>
                <w:rFonts w:cs="Arial"/>
                <w:b/>
              </w:rPr>
            </w:pPr>
          </w:p>
        </w:tc>
        <w:tc>
          <w:tcPr>
            <w:tcW w:w="9285" w:type="dxa"/>
          </w:tcPr>
          <w:p w:rsidR="00561F3B" w:rsidRPr="001D0199" w:rsidRDefault="00561F3B" w:rsidP="009E69E2">
            <w:pPr>
              <w:jc w:val="both"/>
              <w:rPr>
                <w:rFonts w:cs="Arial"/>
                <w:b/>
              </w:rPr>
            </w:pPr>
            <w:r w:rsidRPr="001D0199">
              <w:rPr>
                <w:rFonts w:cs="Arial"/>
                <w:b/>
              </w:rPr>
              <w:t>f) Angaben zum Hersteller, der das Fertigarzneimittel für das Inverkehrbringen freigegeben hat</w:t>
            </w:r>
          </w:p>
          <w:p w:rsidR="00561F3B" w:rsidRPr="001D0199" w:rsidRDefault="00561F3B" w:rsidP="009E69E2">
            <w:pPr>
              <w:rPr>
                <w:rFonts w:cs="Arial"/>
              </w:rPr>
            </w:pPr>
            <w:r w:rsidRPr="001D0199">
              <w:rPr>
                <w:rFonts w:cs="Arial"/>
              </w:rPr>
              <w:t>Universitätsklinikum Hamburg-Eppendorf</w:t>
            </w:r>
            <w:r w:rsidRPr="001D0199">
              <w:rPr>
                <w:rFonts w:cs="Arial"/>
              </w:rPr>
              <w:br/>
              <w:t xml:space="preserve">Institut für Transfusionsmedizin </w:t>
            </w:r>
          </w:p>
          <w:p w:rsidR="00561F3B" w:rsidRPr="001D0199" w:rsidRDefault="00561F3B" w:rsidP="009E69E2">
            <w:pPr>
              <w:jc w:val="both"/>
              <w:rPr>
                <w:rFonts w:cs="Arial"/>
              </w:rPr>
            </w:pPr>
            <w:r w:rsidRPr="001D0199">
              <w:rPr>
                <w:rFonts w:cs="Arial"/>
              </w:rPr>
              <w:t>Martinistraße 52</w:t>
            </w:r>
          </w:p>
          <w:p w:rsidR="00561F3B" w:rsidRPr="001D0199" w:rsidRDefault="00561F3B" w:rsidP="009E69E2">
            <w:pPr>
              <w:jc w:val="both"/>
              <w:rPr>
                <w:rFonts w:cs="Arial"/>
                <w:b/>
              </w:rPr>
            </w:pPr>
            <w:r w:rsidRPr="001D0199">
              <w:rPr>
                <w:rFonts w:cs="Arial"/>
              </w:rPr>
              <w:t>D-20246 Hamburg</w:t>
            </w:r>
          </w:p>
        </w:tc>
      </w:tr>
      <w:tr w:rsidR="00561F3B" w:rsidRPr="00D67596" w:rsidTr="009E69E2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561F3B" w:rsidRPr="001D0199" w:rsidRDefault="00561F3B" w:rsidP="009E69E2">
            <w:pPr>
              <w:jc w:val="both"/>
              <w:rPr>
                <w:rFonts w:cs="Arial"/>
                <w:b/>
              </w:rPr>
            </w:pPr>
          </w:p>
        </w:tc>
        <w:tc>
          <w:tcPr>
            <w:tcW w:w="9285" w:type="dxa"/>
          </w:tcPr>
          <w:p w:rsidR="00561F3B" w:rsidRPr="001D0199" w:rsidRDefault="00561F3B" w:rsidP="009E69E2">
            <w:pPr>
              <w:jc w:val="both"/>
              <w:rPr>
                <w:rFonts w:cs="Arial"/>
                <w:b/>
              </w:rPr>
            </w:pPr>
            <w:r w:rsidRPr="001D0199">
              <w:rPr>
                <w:rFonts w:cs="Arial"/>
                <w:b/>
              </w:rPr>
              <w:t>g) Zulassungsnummer</w:t>
            </w:r>
          </w:p>
          <w:p w:rsidR="00561F3B" w:rsidRPr="001D0199" w:rsidRDefault="00561F3B" w:rsidP="009E69E2">
            <w:pPr>
              <w:jc w:val="both"/>
              <w:rPr>
                <w:rFonts w:cs="Arial"/>
              </w:rPr>
            </w:pPr>
            <w:r w:rsidRPr="001D0199">
              <w:rPr>
                <w:rFonts w:cs="Arial"/>
              </w:rPr>
              <w:t>10573a/96-1</w:t>
            </w:r>
          </w:p>
          <w:p w:rsidR="00561F3B" w:rsidRPr="001D0199" w:rsidRDefault="00561F3B" w:rsidP="009E69E2">
            <w:pPr>
              <w:jc w:val="both"/>
              <w:rPr>
                <w:rFonts w:cs="Arial"/>
              </w:rPr>
            </w:pPr>
          </w:p>
        </w:tc>
      </w:tr>
      <w:tr w:rsidR="00561F3B" w:rsidRPr="00D67596" w:rsidTr="009E69E2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561F3B" w:rsidRPr="001D0199" w:rsidRDefault="00561F3B" w:rsidP="009E69E2">
            <w:pPr>
              <w:jc w:val="both"/>
              <w:rPr>
                <w:rFonts w:cs="Arial"/>
                <w:b/>
              </w:rPr>
            </w:pPr>
          </w:p>
        </w:tc>
        <w:tc>
          <w:tcPr>
            <w:tcW w:w="9285" w:type="dxa"/>
          </w:tcPr>
          <w:p w:rsidR="00561F3B" w:rsidRPr="001D0199" w:rsidRDefault="00561F3B" w:rsidP="009E69E2">
            <w:pPr>
              <w:spacing w:after="60"/>
              <w:jc w:val="both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h) Datum </w:t>
            </w:r>
            <w:r w:rsidRPr="001D0199">
              <w:rPr>
                <w:rFonts w:cs="Arial"/>
                <w:b/>
              </w:rPr>
              <w:t xml:space="preserve">der Verlängerung der Zulassung </w:t>
            </w:r>
          </w:p>
          <w:p w:rsidR="00561F3B" w:rsidRPr="001D0199" w:rsidRDefault="00561F3B" w:rsidP="009E69E2">
            <w:pPr>
              <w:jc w:val="both"/>
              <w:rPr>
                <w:rFonts w:cs="Arial"/>
              </w:rPr>
            </w:pPr>
            <w:r>
              <w:rPr>
                <w:rFonts w:cs="Arial"/>
              </w:rPr>
              <w:t>22.11.2006</w:t>
            </w:r>
          </w:p>
          <w:p w:rsidR="00561F3B" w:rsidRPr="001D0199" w:rsidRDefault="00561F3B" w:rsidP="009E69E2">
            <w:pPr>
              <w:jc w:val="both"/>
              <w:rPr>
                <w:rFonts w:cs="Arial"/>
              </w:rPr>
            </w:pPr>
          </w:p>
        </w:tc>
      </w:tr>
      <w:tr w:rsidR="00561F3B" w:rsidRPr="00D67596" w:rsidTr="009E69E2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561F3B" w:rsidRPr="001D0199" w:rsidRDefault="00561F3B" w:rsidP="009E69E2">
            <w:pPr>
              <w:jc w:val="both"/>
              <w:rPr>
                <w:rFonts w:cs="Arial"/>
              </w:rPr>
            </w:pPr>
          </w:p>
        </w:tc>
        <w:tc>
          <w:tcPr>
            <w:tcW w:w="9285" w:type="dxa"/>
          </w:tcPr>
          <w:p w:rsidR="00561F3B" w:rsidRPr="001D0199" w:rsidRDefault="00561F3B" w:rsidP="009E69E2">
            <w:pPr>
              <w:jc w:val="both"/>
              <w:rPr>
                <w:rFonts w:cs="Arial"/>
                <w:b/>
              </w:rPr>
            </w:pPr>
            <w:r w:rsidRPr="001D0199">
              <w:rPr>
                <w:rFonts w:cs="Arial"/>
                <w:b/>
              </w:rPr>
              <w:t>i) Arzneimittelstatus</w:t>
            </w:r>
          </w:p>
          <w:p w:rsidR="00561F3B" w:rsidRPr="001D0199" w:rsidRDefault="00561F3B" w:rsidP="009E69E2">
            <w:pPr>
              <w:jc w:val="both"/>
              <w:rPr>
                <w:rFonts w:cs="Arial"/>
              </w:rPr>
            </w:pPr>
            <w:r w:rsidRPr="001D0199">
              <w:rPr>
                <w:rFonts w:cs="Arial"/>
              </w:rPr>
              <w:t>Verschreibungspflichtig</w:t>
            </w:r>
          </w:p>
          <w:p w:rsidR="00561F3B" w:rsidRPr="001D0199" w:rsidRDefault="00561F3B" w:rsidP="009E69E2">
            <w:pPr>
              <w:jc w:val="both"/>
              <w:rPr>
                <w:rFonts w:cs="Arial"/>
              </w:rPr>
            </w:pPr>
          </w:p>
        </w:tc>
      </w:tr>
    </w:tbl>
    <w:p w:rsidR="00561F3B" w:rsidRDefault="00561F3B" w:rsidP="00561F3B">
      <w:r>
        <w:br w:type="page"/>
      </w:r>
    </w:p>
    <w:tbl>
      <w:tblPr>
        <w:tblW w:w="9852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67"/>
        <w:gridCol w:w="9285"/>
      </w:tblGrid>
      <w:tr w:rsidR="00561F3B" w:rsidRPr="00D67596" w:rsidTr="009E69E2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561F3B" w:rsidRPr="001D0199" w:rsidRDefault="00561F3B" w:rsidP="009E69E2">
            <w:pPr>
              <w:jc w:val="both"/>
              <w:rPr>
                <w:rFonts w:cs="Arial"/>
                <w:b/>
              </w:rPr>
            </w:pPr>
            <w:r w:rsidRPr="001D0199">
              <w:rPr>
                <w:rFonts w:cs="Arial"/>
              </w:rPr>
              <w:br w:type="page"/>
            </w:r>
            <w:r w:rsidRPr="001D0199">
              <w:rPr>
                <w:rFonts w:cs="Arial"/>
                <w:b/>
              </w:rPr>
              <w:t>8.</w:t>
            </w:r>
          </w:p>
        </w:tc>
        <w:tc>
          <w:tcPr>
            <w:tcW w:w="9285" w:type="dxa"/>
          </w:tcPr>
          <w:p w:rsidR="00561F3B" w:rsidRPr="001D0199" w:rsidRDefault="00561F3B" w:rsidP="009E69E2">
            <w:pPr>
              <w:jc w:val="both"/>
              <w:rPr>
                <w:rFonts w:cs="Arial"/>
              </w:rPr>
            </w:pPr>
            <w:r w:rsidRPr="001D0199">
              <w:rPr>
                <w:rFonts w:cs="Arial"/>
                <w:b/>
              </w:rPr>
              <w:t xml:space="preserve">Sonstige Hinweise </w:t>
            </w:r>
          </w:p>
          <w:p w:rsidR="00561F3B" w:rsidRPr="001D0199" w:rsidRDefault="00561F3B" w:rsidP="009E69E2">
            <w:pPr>
              <w:jc w:val="both"/>
              <w:rPr>
                <w:rFonts w:cs="Arial"/>
              </w:rPr>
            </w:pPr>
            <w:r w:rsidRPr="001D0199">
              <w:rPr>
                <w:rFonts w:cs="Arial"/>
                <w:u w:val="single"/>
              </w:rPr>
              <w:t xml:space="preserve">Maßnahmen zur Reduktion des Übertragungsrisikos von Infektionserregern: </w:t>
            </w:r>
            <w:r w:rsidRPr="001D0199">
              <w:rPr>
                <w:rFonts w:cs="Arial"/>
                <w:u w:val="single"/>
              </w:rPr>
              <w:br/>
            </w:r>
            <w:r w:rsidRPr="001D0199">
              <w:rPr>
                <w:rFonts w:cs="Arial"/>
              </w:rPr>
              <w:t>Da bei der Anwendung von aus menschlichem Blut hergestellten Arzneimitteln die Übertragung von Infektionskrankheiten nicht völlig auszuschließen ist, werden Ma</w:t>
            </w:r>
            <w:r w:rsidRPr="001D0199">
              <w:rPr>
                <w:rFonts w:cs="Arial"/>
              </w:rPr>
              <w:t>ß</w:t>
            </w:r>
            <w:r w:rsidRPr="001D0199">
              <w:rPr>
                <w:rFonts w:cs="Arial"/>
              </w:rPr>
              <w:t>nahmen getroffen, um das Risiko einer Übertragung von infektiösem Material zu m</w:t>
            </w:r>
            <w:r w:rsidRPr="001D0199">
              <w:rPr>
                <w:rFonts w:cs="Arial"/>
              </w:rPr>
              <w:t>i</w:t>
            </w:r>
            <w:r w:rsidRPr="001D0199">
              <w:rPr>
                <w:rFonts w:cs="Arial"/>
              </w:rPr>
              <w:t>nimieren: Für die Herstellung von „GFPQ Citrat (UKE)“ werden ausschließlich Spe</w:t>
            </w:r>
            <w:r w:rsidRPr="001D0199">
              <w:rPr>
                <w:rFonts w:cs="Arial"/>
              </w:rPr>
              <w:t>n</w:t>
            </w:r>
            <w:r w:rsidRPr="001D0199">
              <w:rPr>
                <w:rFonts w:cs="Arial"/>
              </w:rPr>
              <w:t>den gesunder Spender verwendet, die mit negativem Ergebnis getestet wurden auf Humanes Immundefizienz Virus (Anti-HIV-1/2-Ak, HIV-1 Genom), Hepatitis-B V</w:t>
            </w:r>
            <w:r w:rsidRPr="001D0199">
              <w:rPr>
                <w:rFonts w:cs="Arial"/>
              </w:rPr>
              <w:t>i</w:t>
            </w:r>
            <w:r w:rsidRPr="001D0199">
              <w:rPr>
                <w:rFonts w:cs="Arial"/>
              </w:rPr>
              <w:t>rus (HBsAg, Anti-HBc-Ak), Hepatitis-C Virus (Anti-HCV-Ak, HCV-Genom) und Trepon</w:t>
            </w:r>
            <w:r w:rsidRPr="001D0199">
              <w:rPr>
                <w:rFonts w:cs="Arial"/>
              </w:rPr>
              <w:t>e</w:t>
            </w:r>
            <w:r w:rsidRPr="001D0199">
              <w:rPr>
                <w:rFonts w:cs="Arial"/>
              </w:rPr>
              <w:t>ma pallidum (Anti-Treponema pallidum-Ak). Das Plasma wird einer Quarantänelag</w:t>
            </w:r>
            <w:r w:rsidRPr="001D0199">
              <w:rPr>
                <w:rFonts w:cs="Arial"/>
              </w:rPr>
              <w:t>e</w:t>
            </w:r>
            <w:r w:rsidRPr="001D0199">
              <w:rPr>
                <w:rFonts w:cs="Arial"/>
              </w:rPr>
              <w:t>rung von 4 Monaten unterzogen. Das bedeutet, dass nach 4 Monaten der Pla</w:t>
            </w:r>
            <w:r w:rsidRPr="001D0199">
              <w:rPr>
                <w:rFonts w:cs="Arial"/>
              </w:rPr>
              <w:t>s</w:t>
            </w:r>
            <w:r w:rsidRPr="001D0199">
              <w:rPr>
                <w:rFonts w:cs="Arial"/>
              </w:rPr>
              <w:t>maspender erneut mit Ausnahme auf Anti-Treponema pallidum-Ak auf alle Infekt</w:t>
            </w:r>
            <w:r w:rsidRPr="001D0199">
              <w:rPr>
                <w:rFonts w:cs="Arial"/>
              </w:rPr>
              <w:t>i</w:t>
            </w:r>
            <w:r w:rsidRPr="001D0199">
              <w:rPr>
                <w:rFonts w:cs="Arial"/>
              </w:rPr>
              <w:t>onsmarker wie bei der Spende getestet wird und dass das „</w:t>
            </w:r>
            <w:r w:rsidRPr="001D0199">
              <w:rPr>
                <w:rFonts w:cs="Arial"/>
                <w:lang w:val="de-CH"/>
              </w:rPr>
              <w:t>Arzneimittel</w:t>
            </w:r>
            <w:r w:rsidRPr="001D0199">
              <w:rPr>
                <w:rFonts w:cs="Arial"/>
              </w:rPr>
              <w:t>-Bezeichnung“ erst nach erneut negativem Ergebnis für den Arzneimittelverkehr fre</w:t>
            </w:r>
            <w:r w:rsidRPr="001D0199">
              <w:rPr>
                <w:rFonts w:cs="Arial"/>
              </w:rPr>
              <w:t>i</w:t>
            </w:r>
            <w:r w:rsidRPr="001D0199">
              <w:rPr>
                <w:rFonts w:cs="Arial"/>
              </w:rPr>
              <w:t xml:space="preserve">gegeben wird.  </w:t>
            </w:r>
          </w:p>
          <w:p w:rsidR="00561F3B" w:rsidRPr="001D0199" w:rsidRDefault="00561F3B" w:rsidP="009E69E2">
            <w:pPr>
              <w:tabs>
                <w:tab w:val="left" w:pos="6521"/>
              </w:tabs>
              <w:jc w:val="both"/>
              <w:rPr>
                <w:rFonts w:cs="Arial"/>
              </w:rPr>
            </w:pPr>
            <w:r w:rsidRPr="001D0199">
              <w:rPr>
                <w:rFonts w:cs="Arial"/>
                <w:u w:val="single"/>
              </w:rPr>
              <w:t>Qualitätssicherung:</w:t>
            </w:r>
            <w:r w:rsidRPr="001D0199">
              <w:rPr>
                <w:rFonts w:cs="Arial"/>
              </w:rPr>
              <w:t xml:space="preserve"> Für die Transfusion von GFP sind von den Einrichtungen der Krankenversorgung Maßnahmen im Rahmen der Qualitätssicherung nach § 15 des Transfusionsgesetzes zu ergreifen. Dazu gehören u.a. detaillierte Anweisungen s</w:t>
            </w:r>
            <w:r w:rsidRPr="001D0199">
              <w:rPr>
                <w:rFonts w:cs="Arial"/>
              </w:rPr>
              <w:t>o</w:t>
            </w:r>
            <w:r w:rsidRPr="001D0199">
              <w:rPr>
                <w:rFonts w:cs="Arial"/>
              </w:rPr>
              <w:t>wohl für die Indikationsstellung und Dosierung abhängig von der Grunderkrankung und dem klinischen Erscheinungsbild (z.B. bei Verlust- und/oder Verdünnungs</w:t>
            </w:r>
            <w:r w:rsidRPr="001D0199">
              <w:rPr>
                <w:rFonts w:cs="Arial"/>
              </w:rPr>
              <w:softHyphen/>
              <w:t>koagu</w:t>
            </w:r>
            <w:r w:rsidRPr="001D0199">
              <w:rPr>
                <w:rFonts w:cs="Arial"/>
              </w:rPr>
              <w:softHyphen/>
              <w:t>lopathie, Substitution bei Faktor V- und Faktor XI-Mangel, thrombotisch-thrombo</w:t>
            </w:r>
            <w:r w:rsidRPr="001D0199">
              <w:rPr>
                <w:rFonts w:cs="Arial"/>
              </w:rPr>
              <w:softHyphen/>
              <w:t>zyto</w:t>
            </w:r>
            <w:r w:rsidRPr="001D0199">
              <w:rPr>
                <w:rFonts w:cs="Arial"/>
              </w:rPr>
              <w:softHyphen/>
              <w:t>pe</w:t>
            </w:r>
            <w:r w:rsidRPr="001D0199">
              <w:rPr>
                <w:rFonts w:cs="Arial"/>
              </w:rPr>
              <w:softHyphen/>
              <w:t>nischer Purpura, Austauschtransfusionen), Vorsorgemaßnahmen zur Erhaltung der Un</w:t>
            </w:r>
            <w:r w:rsidRPr="001D0199">
              <w:rPr>
                <w:rFonts w:cs="Arial"/>
              </w:rPr>
              <w:softHyphen/>
              <w:t>versehrtheit der Blutzubereitung vor der Transfusion und Anweisungen zur Nach</w:t>
            </w:r>
            <w:r w:rsidRPr="001D0199">
              <w:rPr>
                <w:rFonts w:cs="Arial"/>
              </w:rPr>
              <w:softHyphen/>
              <w:t>un</w:t>
            </w:r>
            <w:r w:rsidRPr="001D0199">
              <w:rPr>
                <w:rFonts w:cs="Arial"/>
              </w:rPr>
              <w:softHyphen/>
              <w:t xml:space="preserve">tersuchung der Patienten für die Feststellung des Transfusionserfolges, </w:t>
            </w:r>
            <w:r w:rsidRPr="001D0199">
              <w:rPr>
                <w:rFonts w:cs="Arial"/>
              </w:rPr>
              <w:t>e</w:t>
            </w:r>
            <w:r w:rsidRPr="001D0199">
              <w:rPr>
                <w:rFonts w:cs="Arial"/>
              </w:rPr>
              <w:t>ventuell ge</w:t>
            </w:r>
            <w:r w:rsidRPr="001D0199">
              <w:rPr>
                <w:rFonts w:cs="Arial"/>
              </w:rPr>
              <w:softHyphen/>
              <w:t>bildeter Antikörper und Hemmkörper gegen Gerinnungsfaktoren, für zu ergreifende Pro</w:t>
            </w:r>
            <w:r w:rsidRPr="001D0199">
              <w:rPr>
                <w:rFonts w:cs="Arial"/>
              </w:rPr>
              <w:softHyphen/>
              <w:t>phylaxemaßnahmen etc.</w:t>
            </w:r>
          </w:p>
          <w:p w:rsidR="00561F3B" w:rsidRPr="001D0199" w:rsidRDefault="00561F3B" w:rsidP="009E69E2">
            <w:pPr>
              <w:tabs>
                <w:tab w:val="left" w:pos="6521"/>
              </w:tabs>
              <w:jc w:val="both"/>
              <w:rPr>
                <w:rFonts w:cs="Arial"/>
              </w:rPr>
            </w:pPr>
          </w:p>
          <w:p w:rsidR="00561F3B" w:rsidRPr="001D0199" w:rsidRDefault="00561F3B" w:rsidP="009E69E2">
            <w:pPr>
              <w:tabs>
                <w:tab w:val="left" w:pos="6521"/>
              </w:tabs>
              <w:jc w:val="both"/>
              <w:rPr>
                <w:rFonts w:cs="Arial"/>
              </w:rPr>
            </w:pPr>
            <w:r w:rsidRPr="001D0199">
              <w:rPr>
                <w:rFonts w:cs="Arial"/>
              </w:rPr>
              <w:t>Besondere Vorsichtsmaßnahmen für die Bese</w:t>
            </w:r>
            <w:r w:rsidRPr="001D0199">
              <w:rPr>
                <w:rFonts w:cs="Arial"/>
              </w:rPr>
              <w:t>i</w:t>
            </w:r>
            <w:r w:rsidRPr="001D0199">
              <w:rPr>
                <w:rFonts w:cs="Arial"/>
              </w:rPr>
              <w:t>tigung:</w:t>
            </w:r>
          </w:p>
          <w:p w:rsidR="00561F3B" w:rsidRPr="001D0199" w:rsidRDefault="00561F3B" w:rsidP="009E69E2">
            <w:pPr>
              <w:tabs>
                <w:tab w:val="left" w:pos="6521"/>
              </w:tabs>
              <w:jc w:val="both"/>
              <w:rPr>
                <w:rFonts w:cs="Arial"/>
              </w:rPr>
            </w:pPr>
            <w:r w:rsidRPr="001D0199">
              <w:rPr>
                <w:rFonts w:cs="Arial"/>
              </w:rPr>
              <w:t>Die ordnungsgemäße Entsorgung von angebrochenen bzw. nicht mehr verwendb</w:t>
            </w:r>
            <w:r w:rsidRPr="001D0199">
              <w:rPr>
                <w:rFonts w:cs="Arial"/>
              </w:rPr>
              <w:t>a</w:t>
            </w:r>
            <w:r w:rsidRPr="001D0199">
              <w:rPr>
                <w:rFonts w:cs="Arial"/>
              </w:rPr>
              <w:t>ren Präparaten ist entsprechend den Vorgaben der Einrichtung der Krankenversorgung s</w:t>
            </w:r>
            <w:r w:rsidRPr="001D0199">
              <w:rPr>
                <w:rFonts w:cs="Arial"/>
              </w:rPr>
              <w:t>i</w:t>
            </w:r>
            <w:r w:rsidRPr="001D0199">
              <w:rPr>
                <w:rFonts w:cs="Arial"/>
              </w:rPr>
              <w:t>cherzustellen.</w:t>
            </w:r>
          </w:p>
          <w:p w:rsidR="00561F3B" w:rsidRPr="001D0199" w:rsidRDefault="00561F3B" w:rsidP="009E69E2">
            <w:pPr>
              <w:pStyle w:val="Textkrper"/>
              <w:rPr>
                <w:sz w:val="20"/>
                <w:szCs w:val="20"/>
              </w:rPr>
            </w:pPr>
          </w:p>
          <w:p w:rsidR="00561F3B" w:rsidRPr="001D0199" w:rsidRDefault="00561F3B" w:rsidP="009E69E2">
            <w:pPr>
              <w:jc w:val="both"/>
              <w:rPr>
                <w:rFonts w:cs="Arial"/>
              </w:rPr>
            </w:pPr>
            <w:r w:rsidRPr="001D0199">
              <w:rPr>
                <w:rFonts w:cs="Arial"/>
              </w:rPr>
              <w:t>Die jeweils aktuellen “</w:t>
            </w:r>
            <w:r w:rsidRPr="001D0199">
              <w:rPr>
                <w:rFonts w:cs="Arial"/>
                <w:lang w:val="de-CH"/>
              </w:rPr>
              <w:t>Richtlinien zur Gewinnung von Blut und Blutbestandteilen und zur Anwendung von Blutprodukten (Hämotherapie)</w:t>
            </w:r>
            <w:r w:rsidRPr="001D0199">
              <w:rPr>
                <w:rFonts w:cs="Arial"/>
              </w:rPr>
              <w:t>“ sowie gegebenenfalls ergänze</w:t>
            </w:r>
            <w:r w:rsidRPr="001D0199">
              <w:rPr>
                <w:rFonts w:cs="Arial"/>
              </w:rPr>
              <w:t>n</w:t>
            </w:r>
            <w:r w:rsidRPr="001D0199">
              <w:rPr>
                <w:rFonts w:cs="Arial"/>
              </w:rPr>
              <w:t>de Ve</w:t>
            </w:r>
            <w:r w:rsidRPr="001D0199">
              <w:rPr>
                <w:rFonts w:cs="Arial"/>
              </w:rPr>
              <w:t>r</w:t>
            </w:r>
            <w:r w:rsidRPr="001D0199">
              <w:rPr>
                <w:rFonts w:cs="Arial"/>
              </w:rPr>
              <w:t>öffentlichungen der Bundesärztekammer und des Paul-Ehrlich-Instituts sind zu berüc</w:t>
            </w:r>
            <w:r w:rsidRPr="001D0199">
              <w:rPr>
                <w:rFonts w:cs="Arial"/>
              </w:rPr>
              <w:t>k</w:t>
            </w:r>
            <w:r w:rsidRPr="001D0199">
              <w:rPr>
                <w:rFonts w:cs="Arial"/>
              </w:rPr>
              <w:t>sichtigen.</w:t>
            </w:r>
          </w:p>
          <w:p w:rsidR="00561F3B" w:rsidRPr="001D0199" w:rsidRDefault="00561F3B" w:rsidP="009E69E2">
            <w:pPr>
              <w:jc w:val="both"/>
              <w:rPr>
                <w:rFonts w:cs="Arial"/>
              </w:rPr>
            </w:pPr>
          </w:p>
        </w:tc>
      </w:tr>
      <w:tr w:rsidR="00561F3B" w:rsidRPr="00D67596" w:rsidTr="009E69E2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561F3B" w:rsidRPr="001D0199" w:rsidRDefault="00561F3B" w:rsidP="009E69E2">
            <w:pPr>
              <w:jc w:val="both"/>
              <w:rPr>
                <w:rFonts w:cs="Arial"/>
                <w:b/>
              </w:rPr>
            </w:pPr>
            <w:r w:rsidRPr="001D0199">
              <w:rPr>
                <w:rFonts w:cs="Arial"/>
                <w:b/>
              </w:rPr>
              <w:t>9.</w:t>
            </w:r>
          </w:p>
        </w:tc>
        <w:tc>
          <w:tcPr>
            <w:tcW w:w="9285" w:type="dxa"/>
          </w:tcPr>
          <w:p w:rsidR="00561F3B" w:rsidRPr="001D0199" w:rsidRDefault="00561F3B" w:rsidP="009E69E2">
            <w:pPr>
              <w:jc w:val="both"/>
              <w:rPr>
                <w:rFonts w:cs="Arial"/>
                <w:b/>
              </w:rPr>
            </w:pPr>
            <w:r w:rsidRPr="001D0199">
              <w:rPr>
                <w:rFonts w:cs="Arial"/>
                <w:b/>
              </w:rPr>
              <w:t>Datum der letzten Überarbeitung</w:t>
            </w:r>
          </w:p>
          <w:p w:rsidR="00561F3B" w:rsidRPr="001D0199" w:rsidRDefault="00561F3B" w:rsidP="009E69E2">
            <w:pPr>
              <w:jc w:val="both"/>
              <w:rPr>
                <w:rFonts w:cs="Arial"/>
              </w:rPr>
            </w:pPr>
            <w:r>
              <w:rPr>
                <w:rFonts w:cs="Arial"/>
              </w:rPr>
              <w:t>07.03</w:t>
            </w:r>
            <w:r w:rsidRPr="001D0199">
              <w:rPr>
                <w:rFonts w:cs="Arial"/>
              </w:rPr>
              <w:t>.201</w:t>
            </w:r>
            <w:r>
              <w:rPr>
                <w:rFonts w:cs="Arial"/>
              </w:rPr>
              <w:t>8</w:t>
            </w:r>
          </w:p>
        </w:tc>
      </w:tr>
    </w:tbl>
    <w:p w:rsidR="0060067B" w:rsidRDefault="0060067B">
      <w:pPr>
        <w:pStyle w:val="StandardBlocksatz"/>
      </w:pPr>
    </w:p>
    <w:sectPr w:rsidR="0060067B">
      <w:headerReference w:type="default" r:id="rId7"/>
      <w:headerReference w:type="first" r:id="rId8"/>
      <w:footerReference w:type="first" r:id="rId9"/>
      <w:pgSz w:w="11906" w:h="16838"/>
      <w:pgMar w:top="851" w:right="851" w:bottom="1134" w:left="1134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69E2" w:rsidRDefault="009E69E2">
      <w:r>
        <w:separator/>
      </w:r>
    </w:p>
  </w:endnote>
  <w:endnote w:type="continuationSeparator" w:id="0">
    <w:p w:rsidR="009E69E2" w:rsidRDefault="009E69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067B" w:rsidRDefault="0060067B">
    <w:pPr>
      <w:pBdr>
        <w:top w:val="single" w:sz="4" w:space="2" w:color="auto"/>
      </w:pBdr>
      <w:jc w:val="center"/>
      <w:rPr>
        <w:sz w:val="16"/>
      </w:rPr>
    </w:pPr>
    <w:r>
      <w:rPr>
        <w:sz w:val="16"/>
      </w:rPr>
      <w:t>Betriebsinternes QM-Dokument, außerbetriebliche Weitergabe ist untersagt. Nur gültig mit Unterschriften!</w:t>
    </w:r>
  </w:p>
  <w:p w:rsidR="0060067B" w:rsidRPr="00D25391" w:rsidRDefault="00D25391" w:rsidP="00D25391">
    <w:pPr>
      <w:pStyle w:val="StandardBlocksatz"/>
      <w:jc w:val="center"/>
      <w:rPr>
        <w:sz w:val="16"/>
        <w:szCs w:val="16"/>
      </w:rPr>
    </w:pPr>
    <w:r>
      <w:rPr>
        <w:sz w:val="16"/>
        <w:szCs w:val="16"/>
      </w:rPr>
      <w:t xml:space="preserve">Vorlage basiert auf SOP </w:t>
    </w:r>
    <w:r w:rsidRPr="005A39B1">
      <w:rPr>
        <w:sz w:val="16"/>
        <w:szCs w:val="16"/>
      </w:rPr>
      <w:t>4.01.01 Anlage 0</w:t>
    </w:r>
    <w:r>
      <w:rPr>
        <w:sz w:val="16"/>
        <w:szCs w:val="16"/>
      </w:rPr>
      <w:t>2</w:t>
    </w:r>
    <w:r w:rsidR="0060067B">
      <w:rPr>
        <w:sz w:val="16"/>
      </w:rPr>
      <w:t>.</w:t>
    </w:r>
  </w:p>
  <w:p w:rsidR="0060067B" w:rsidRDefault="0060067B">
    <w:pPr>
      <w:jc w:val="center"/>
      <w:rPr>
        <w:sz w:val="12"/>
      </w:rPr>
    </w:pPr>
  </w:p>
  <w:p w:rsidR="0060067B" w:rsidRDefault="0060067B">
    <w:r>
      <w:rPr>
        <w:sz w:val="12"/>
      </w:rPr>
      <w:fldChar w:fldCharType="begin"/>
    </w:r>
    <w:r>
      <w:rPr>
        <w:sz w:val="12"/>
      </w:rPr>
      <w:instrText xml:space="preserve"> FILENAME  \* MERGEFORMAT </w:instrText>
    </w:r>
    <w:r>
      <w:rPr>
        <w:sz w:val="12"/>
      </w:rPr>
      <w:fldChar w:fldCharType="separate"/>
    </w:r>
    <w:r w:rsidR="00315E5F">
      <w:rPr>
        <w:noProof/>
        <w:sz w:val="12"/>
      </w:rPr>
      <w:t>9-58.513-1.0 [004] GFPQ Citrat (UKE)</w:t>
    </w:r>
    <w:r>
      <w:rPr>
        <w:sz w:val="12"/>
      </w:rPr>
      <w:fldChar w:fldCharType="end"/>
    </w:r>
  </w:p>
  <w:p w:rsidR="0060067B" w:rsidRDefault="0060067B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69E2" w:rsidRDefault="009E69E2">
      <w:r>
        <w:separator/>
      </w:r>
    </w:p>
  </w:footnote>
  <w:footnote w:type="continuationSeparator" w:id="0">
    <w:p w:rsidR="009E69E2" w:rsidRDefault="009E69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067B" w:rsidRDefault="0060067B">
    <w:pPr>
      <w:pStyle w:val="StandardBlocksatz"/>
      <w:rPr>
        <w:sz w:val="16"/>
      </w:rPr>
    </w:pPr>
    <w:r>
      <w:rPr>
        <w:b/>
        <w:sz w:val="16"/>
      </w:rPr>
      <w:t>UKE - Institut für Transfusionsmedizin</w:t>
    </w:r>
    <w:r>
      <w:rPr>
        <w:sz w:val="16"/>
      </w:rPr>
      <w:t xml:space="preserve"> Dok. / [Vers.]: </w:t>
    </w:r>
    <w:r>
      <w:rPr>
        <w:b/>
        <w:sz w:val="16"/>
      </w:rPr>
      <w:fldChar w:fldCharType="begin"/>
    </w:r>
    <w:r>
      <w:rPr>
        <w:b/>
        <w:sz w:val="16"/>
      </w:rPr>
      <w:instrText xml:space="preserve"> DOCPROPERTY "Dokument"  \* MERGEFORMAT </w:instrText>
    </w:r>
    <w:r>
      <w:rPr>
        <w:b/>
        <w:sz w:val="16"/>
      </w:rPr>
      <w:fldChar w:fldCharType="separate"/>
    </w:r>
    <w:r w:rsidR="00315E5F">
      <w:rPr>
        <w:b/>
        <w:sz w:val="16"/>
      </w:rPr>
      <w:t>9-58.513.1-0</w:t>
    </w:r>
    <w:r>
      <w:rPr>
        <w:b/>
        <w:sz w:val="16"/>
      </w:rPr>
      <w:fldChar w:fldCharType="end"/>
    </w:r>
    <w:r>
      <w:rPr>
        <w:b/>
        <w:sz w:val="16"/>
      </w:rPr>
      <w:t xml:space="preserve"> / </w:t>
    </w:r>
    <w:r>
      <w:rPr>
        <w:b/>
        <w:sz w:val="16"/>
      </w:rPr>
      <w:fldChar w:fldCharType="begin"/>
    </w:r>
    <w:r>
      <w:rPr>
        <w:b/>
        <w:sz w:val="16"/>
      </w:rPr>
      <w:instrText xml:space="preserve"> DOCPROPERTY "Version"  \* MERGEFORMAT </w:instrText>
    </w:r>
    <w:r>
      <w:rPr>
        <w:b/>
        <w:sz w:val="16"/>
      </w:rPr>
      <w:fldChar w:fldCharType="separate"/>
    </w:r>
    <w:r w:rsidR="00315E5F">
      <w:rPr>
        <w:b/>
        <w:sz w:val="16"/>
      </w:rPr>
      <w:t>[004]</w:t>
    </w:r>
    <w:r>
      <w:rPr>
        <w:b/>
        <w:sz w:val="16"/>
      </w:rPr>
      <w:fldChar w:fldCharType="end"/>
    </w:r>
    <w:r>
      <w:rPr>
        <w:sz w:val="16"/>
      </w:rPr>
      <w:t xml:space="preserve">   gültig ab </w:t>
    </w:r>
    <w:r>
      <w:rPr>
        <w:b/>
        <w:sz w:val="16"/>
      </w:rPr>
      <w:fldChar w:fldCharType="begin"/>
    </w:r>
    <w:r>
      <w:rPr>
        <w:b/>
        <w:sz w:val="16"/>
      </w:rPr>
      <w:instrText xml:space="preserve"> DOCPROPERTY "gültig ab"  \* MERGEFORMAT </w:instrText>
    </w:r>
    <w:r>
      <w:rPr>
        <w:b/>
        <w:sz w:val="16"/>
      </w:rPr>
      <w:fldChar w:fldCharType="separate"/>
    </w:r>
    <w:r w:rsidR="00315E5F">
      <w:rPr>
        <w:b/>
        <w:sz w:val="16"/>
      </w:rPr>
      <w:t>15.03.2018</w:t>
    </w:r>
    <w:r>
      <w:rPr>
        <w:b/>
        <w:sz w:val="16"/>
      </w:rPr>
      <w:fldChar w:fldCharType="end"/>
    </w:r>
    <w:r>
      <w:rPr>
        <w:sz w:val="16"/>
      </w:rPr>
      <w:t xml:space="preserve"> Seite  </w:t>
    </w:r>
    <w:r>
      <w:rPr>
        <w:rStyle w:val="Seitenzahl"/>
        <w:b/>
        <w:sz w:val="16"/>
      </w:rPr>
      <w:fldChar w:fldCharType="begin"/>
    </w:r>
    <w:r>
      <w:rPr>
        <w:rStyle w:val="Seitenzahl"/>
        <w:b/>
        <w:sz w:val="16"/>
      </w:rPr>
      <w:instrText xml:space="preserve"> PAGE </w:instrText>
    </w:r>
    <w:r>
      <w:rPr>
        <w:rStyle w:val="Seitenzahl"/>
        <w:b/>
        <w:sz w:val="16"/>
      </w:rPr>
      <w:fldChar w:fldCharType="separate"/>
    </w:r>
    <w:r w:rsidR="00AD0636">
      <w:rPr>
        <w:rStyle w:val="Seitenzahl"/>
        <w:b/>
        <w:noProof/>
        <w:sz w:val="16"/>
      </w:rPr>
      <w:t>1</w:t>
    </w:r>
    <w:r>
      <w:rPr>
        <w:rStyle w:val="Seitenzahl"/>
        <w:b/>
        <w:sz w:val="16"/>
      </w:rPr>
      <w:fldChar w:fldCharType="end"/>
    </w:r>
    <w:r>
      <w:rPr>
        <w:rStyle w:val="Seitenzahl"/>
        <w:b/>
        <w:sz w:val="16"/>
      </w:rPr>
      <w:t>/</w:t>
    </w:r>
    <w:r>
      <w:rPr>
        <w:rStyle w:val="Seitenzahl"/>
        <w:b/>
        <w:sz w:val="16"/>
      </w:rPr>
      <w:fldChar w:fldCharType="begin"/>
    </w:r>
    <w:r>
      <w:rPr>
        <w:rStyle w:val="Seitenzahl"/>
        <w:b/>
        <w:sz w:val="16"/>
      </w:rPr>
      <w:instrText xml:space="preserve"> = Seitenanzahlgesamt-1</w:instrText>
    </w:r>
    <w:r>
      <w:rPr>
        <w:rStyle w:val="Seitenzahl"/>
        <w:b/>
        <w:sz w:val="16"/>
      </w:rPr>
      <w:fldChar w:fldCharType="separate"/>
    </w:r>
    <w:r w:rsidR="00AD0636">
      <w:rPr>
        <w:rStyle w:val="Seitenzahl"/>
        <w:b/>
        <w:noProof/>
        <w:sz w:val="16"/>
      </w:rPr>
      <w:t>4</w:t>
    </w:r>
    <w:r>
      <w:rPr>
        <w:rStyle w:val="Seitenzahl"/>
        <w:b/>
        <w:sz w:val="16"/>
      </w:rPr>
      <w:fldChar w:fldCharType="end"/>
    </w:r>
    <w:r>
      <w:rPr>
        <w:rStyle w:val="Seitenzahl"/>
        <w:b/>
        <w:sz w:val="16"/>
      </w:rPr>
      <w:t xml:space="preserve"> </w:t>
    </w:r>
  </w:p>
  <w:p w:rsidR="0060067B" w:rsidRDefault="0060067B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067B" w:rsidRDefault="00AD0636">
    <w:pPr>
      <w:rPr>
        <w:sz w:val="12"/>
      </w:rPr>
    </w:pPr>
    <w:r>
      <w:rPr>
        <w:noProof/>
        <w:sz w:val="12"/>
      </w:rPr>
      <mc:AlternateContent>
        <mc:Choice Requires="wps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4147820</wp:posOffset>
              </wp:positionH>
              <wp:positionV relativeFrom="paragraph">
                <wp:posOffset>90170</wp:posOffset>
              </wp:positionV>
              <wp:extent cx="2174240" cy="42481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74240" cy="42481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0067B" w:rsidRDefault="0060067B">
                          <w:pPr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Institut für Transfusionsmedizin</w:t>
                          </w:r>
                        </w:p>
                        <w:p w:rsidR="0060067B" w:rsidRDefault="0060067B">
                          <w:pPr>
                            <w:jc w:val="center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Martinistraße 52, D-20246 Hamburg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26.6pt;margin-top:7.1pt;width:171.2pt;height:33.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LHdMfwIAAA8FAAAOAAAAZHJzL2Uyb0RvYy54bWysVG1v2yAQ/j5p/wHxPfWLnCa26lRtskyT&#10;uhep3Q8ggGM0DAxI7G7qf9+BkzTdizRN8wcM3PFwd89zXF0PnUR7bp3QqsbZRYoRV1QzobY1/vyw&#10;nswxcp4oRqRWvMaP3OHrxetXV72peK5bLRm3CECUq3pT49Z7UyWJoy3viLvQhiswNtp2xMPSbhNm&#10;SQ/onUzyNL1Mem2ZsZpy52B3NRrxIuI3Daf+Y9M47pGsMcTm42jjuAljsrgi1dYS0wp6CIP8QxQd&#10;EQouPUGtiCdoZ8UvUJ2gVjvd+Auqu0Q3jaA85gDZZOlP2dy3xPCYCxTHmVOZ3P+DpR/2nywSrMY5&#10;Rop0QNEDHzy61QPKQnV64ypwujfg5gfYBpZjps7cafrFIaWXLVFbfmOt7ltOGEQXTyZnR0ccF0A2&#10;/XvN4Bqy8zoCDY3tQumgGAjQgaXHEzMhFAqbeTYr8gJMFGwwm2fTEFxCquNpY51/y3WHwqTGFpiP&#10;6GR/5/zoenQJlzktBVsLKePCbjdLadGegErW8Tugv3CTKjgrHY6NiOMOBAl3BFsIN7L+vcwg3Nu8&#10;nKwv57NJsS6mk3KWzidpVt6Wl2lRFqv1UwgwK6pWMMbVnVD8qMCs+DuGD70waidqEPU1Lqf5dKTo&#10;j0mm8ftdkp3w0JBSdDWen5xIFYh9oxikTSpPhBznycvwIyFQg+M/ViXKIDA/asAPmwFQgjY2mj2C&#10;IKwGvoBaeEVg0mr7DaMeOrLG7uuOWI6RfKdAVGVWBAX4uCimsxwW9tyyObcQRQGqxh6jcbr0Y9vv&#10;jBXbFm4aZaz0DQixEVEjz1FBCmEBXReTObwQoa3P19Hr+R1b/AAAAP//AwBQSwMEFAAGAAgAAAAh&#10;AP3/uLLeAAAACQEAAA8AAABkcnMvZG93bnJldi54bWxMj8FOg0AQhu8mvsNmTLwYu1ALLZSlURON&#10;19Y+wMBOgZTdJey20Ld3POlpMvm//PNNsZtNL640+s5ZBfEiAkG2drqzjYLj98fzBoQPaDX2zpKC&#10;G3nYlfd3BebaTXZP10NoBJdYn6OCNoQhl9LXLRn0CzeQ5ezkRoOB17GResSJy00vl1GUSoOd5Qst&#10;DvTeUn0+XIyC09f0lGRT9RmO6/0qfcNuXbmbUo8P8+sWRKA5/MHwq8/qULJT5S5We9ErSJOXJaMc&#10;rHgykGVJCqJSsIljkGUh/39Q/gAAAP//AwBQSwECLQAUAAYACAAAACEAtoM4kv4AAADhAQAAEwAA&#10;AAAAAAAAAAAAAAAAAAAAW0NvbnRlbnRfVHlwZXNdLnhtbFBLAQItABQABgAIAAAAIQA4/SH/1gAA&#10;AJQBAAALAAAAAAAAAAAAAAAAAC8BAABfcmVscy8ucmVsc1BLAQItABQABgAIAAAAIQC5LHdMfwIA&#10;AA8FAAAOAAAAAAAAAAAAAAAAAC4CAABkcnMvZTJvRG9jLnhtbFBLAQItABQABgAIAAAAIQD9/7iy&#10;3gAAAAkBAAAPAAAAAAAAAAAAAAAAANkEAABkcnMvZG93bnJldi54bWxQSwUGAAAAAAQABADzAAAA&#10;5AUAAAAA&#10;" o:allowincell="f" stroked="f">
              <v:textbox>
                <w:txbxContent>
                  <w:p w:rsidR="0060067B" w:rsidRDefault="0060067B">
                    <w:pPr>
                      <w:jc w:val="center"/>
                      <w:rPr>
                        <w:b/>
                      </w:rPr>
                    </w:pPr>
                    <w:r>
                      <w:rPr>
                        <w:b/>
                      </w:rPr>
                      <w:t>Institut für Transfusionsmedizin</w:t>
                    </w:r>
                  </w:p>
                  <w:p w:rsidR="0060067B" w:rsidRDefault="0060067B">
                    <w:pPr>
                      <w:jc w:val="center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Martinistraße 52, D-20246 Hamburg</w:t>
                    </w:r>
                  </w:p>
                </w:txbxContent>
              </v:textbox>
            </v:shape>
          </w:pict>
        </mc:Fallback>
      </mc:AlternateContent>
    </w:r>
    <w:r w:rsidRPr="00E30E4A">
      <w:rPr>
        <w:noProof/>
      </w:rPr>
      <w:drawing>
        <wp:inline distT="0" distB="0" distL="0" distR="0">
          <wp:extent cx="714375" cy="762000"/>
          <wp:effectExtent l="0" t="0" r="9525" b="0"/>
          <wp:docPr id="1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0067B" w:rsidRDefault="0060067B">
    <w:pPr>
      <w:rPr>
        <w:sz w:val="12"/>
      </w:rPr>
    </w:pP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328"/>
      <w:gridCol w:w="3328"/>
      <w:gridCol w:w="3328"/>
    </w:tblGrid>
    <w:tr w:rsidR="0060067B">
      <w:tblPrEx>
        <w:tblCellMar>
          <w:top w:w="0" w:type="dxa"/>
          <w:bottom w:w="0" w:type="dxa"/>
        </w:tblCellMar>
      </w:tblPrEx>
      <w:trPr>
        <w:cantSplit/>
      </w:trPr>
      <w:tc>
        <w:tcPr>
          <w:tcW w:w="3328" w:type="dxa"/>
        </w:tcPr>
        <w:p w:rsidR="0060067B" w:rsidRDefault="0060067B">
          <w:pPr>
            <w:spacing w:before="120" w:after="120"/>
            <w:ind w:left="142"/>
          </w:pPr>
          <w:r>
            <w:t xml:space="preserve">Dok [Vers.]: </w: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DOCPROPERTY "Dokument"  \* MERGEFORMAT </w:instrText>
          </w:r>
          <w:r>
            <w:rPr>
              <w:b/>
            </w:rPr>
            <w:fldChar w:fldCharType="separate"/>
          </w:r>
          <w:r w:rsidR="00315E5F">
            <w:rPr>
              <w:b/>
            </w:rPr>
            <w:t>9-58.513.1-0</w:t>
          </w:r>
          <w:r>
            <w:rPr>
              <w:b/>
            </w:rPr>
            <w:fldChar w:fldCharType="end"/>
          </w:r>
          <w:r>
            <w:rPr>
              <w:b/>
            </w:rPr>
            <w:t xml:space="preserve"> </w: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DOCPROPERTY "Version"  \* MERGEFORMAT </w:instrText>
          </w:r>
          <w:r>
            <w:rPr>
              <w:b/>
            </w:rPr>
            <w:fldChar w:fldCharType="separate"/>
          </w:r>
          <w:r w:rsidR="00315E5F">
            <w:rPr>
              <w:b/>
            </w:rPr>
            <w:t>[004]</w:t>
          </w:r>
          <w:r>
            <w:rPr>
              <w:b/>
            </w:rPr>
            <w:fldChar w:fldCharType="end"/>
          </w:r>
        </w:p>
      </w:tc>
      <w:tc>
        <w:tcPr>
          <w:tcW w:w="3328" w:type="dxa"/>
        </w:tcPr>
        <w:p w:rsidR="0060067B" w:rsidRDefault="0060067B">
          <w:pPr>
            <w:spacing w:before="120" w:after="120"/>
            <w:ind w:left="142"/>
            <w:jc w:val="center"/>
          </w:pPr>
          <w:r>
            <w:t xml:space="preserve">Gültig ab: </w:t>
          </w:r>
          <w:r>
            <w:rPr>
              <w:b/>
            </w:rPr>
            <w:fldChar w:fldCharType="begin"/>
          </w:r>
          <w:r>
            <w:rPr>
              <w:b/>
            </w:rPr>
            <w:instrText xml:space="preserve"> DOCPROPERTY "gültig ab"  \* MERGEFORMAT </w:instrText>
          </w:r>
          <w:r>
            <w:rPr>
              <w:b/>
            </w:rPr>
            <w:fldChar w:fldCharType="separate"/>
          </w:r>
          <w:r w:rsidR="00315E5F">
            <w:rPr>
              <w:b/>
            </w:rPr>
            <w:t>15.03.2018</w:t>
          </w:r>
          <w:r>
            <w:rPr>
              <w:b/>
            </w:rPr>
            <w:fldChar w:fldCharType="end"/>
          </w:r>
        </w:p>
      </w:tc>
      <w:tc>
        <w:tcPr>
          <w:tcW w:w="3328" w:type="dxa"/>
        </w:tcPr>
        <w:p w:rsidR="0060067B" w:rsidRDefault="0060067B">
          <w:pPr>
            <w:spacing w:before="60"/>
            <w:ind w:left="142" w:right="62"/>
            <w:jc w:val="right"/>
            <w:rPr>
              <w:b/>
              <w:snapToGrid w:val="0"/>
            </w:rPr>
          </w:pPr>
          <w:r>
            <w:rPr>
              <w:snapToGrid w:val="0"/>
            </w:rPr>
            <w:t xml:space="preserve">Seite: </w:t>
          </w:r>
          <w:r>
            <w:rPr>
              <w:b/>
              <w:snapToGrid w:val="0"/>
            </w:rPr>
            <w:t>Vorblatt</w:t>
          </w:r>
        </w:p>
        <w:bookmarkStart w:id="1" w:name="Seitenanzahlgesamt"/>
        <w:p w:rsidR="0060067B" w:rsidRDefault="0060067B">
          <w:pPr>
            <w:pStyle w:val="StandardBlocksatz"/>
            <w:spacing w:before="120" w:after="120"/>
            <w:ind w:right="62"/>
            <w:jc w:val="right"/>
          </w:pPr>
          <w:r>
            <w:rPr>
              <w:color w:val="FFFFFF"/>
            </w:rPr>
            <w:fldChar w:fldCharType="begin"/>
          </w:r>
          <w:r>
            <w:rPr>
              <w:color w:val="FFFFFF"/>
            </w:rPr>
            <w:instrText xml:space="preserve"> NUMPAGES  \* MERGEFORMAT </w:instrText>
          </w:r>
          <w:r>
            <w:rPr>
              <w:color w:val="FFFFFF"/>
            </w:rPr>
            <w:fldChar w:fldCharType="separate"/>
          </w:r>
          <w:r w:rsidR="00AD0636">
            <w:rPr>
              <w:noProof/>
              <w:color w:val="FFFFFF"/>
            </w:rPr>
            <w:t>5</w:t>
          </w:r>
          <w:r>
            <w:rPr>
              <w:color w:val="FFFFFF"/>
            </w:rPr>
            <w:fldChar w:fldCharType="end"/>
          </w:r>
          <w:bookmarkEnd w:id="1"/>
          <w:r>
            <w:t xml:space="preserve">Formularseiten: </w:t>
          </w:r>
          <w:r>
            <w:rPr>
              <w:rStyle w:val="Seitenzahl"/>
              <w:b/>
            </w:rPr>
            <w:fldChar w:fldCharType="begin"/>
          </w:r>
          <w:r>
            <w:rPr>
              <w:rStyle w:val="Seitenzahl"/>
              <w:b/>
            </w:rPr>
            <w:instrText xml:space="preserve"> = Seitenanzahlgesamt-1</w:instrText>
          </w:r>
          <w:r>
            <w:rPr>
              <w:rStyle w:val="Seitenzahl"/>
              <w:b/>
            </w:rPr>
            <w:fldChar w:fldCharType="separate"/>
          </w:r>
          <w:r w:rsidR="00AD0636">
            <w:rPr>
              <w:rStyle w:val="Seitenzahl"/>
              <w:b/>
              <w:noProof/>
            </w:rPr>
            <w:t>4</w:t>
          </w:r>
          <w:r>
            <w:rPr>
              <w:rStyle w:val="Seitenzahl"/>
              <w:b/>
            </w:rPr>
            <w:fldChar w:fldCharType="end"/>
          </w:r>
        </w:p>
      </w:tc>
    </w:tr>
  </w:tbl>
  <w:p w:rsidR="0060067B" w:rsidRDefault="0060067B">
    <w:pPr>
      <w:rPr>
        <w:sz w:val="12"/>
      </w:rPr>
    </w:pP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497"/>
      <w:gridCol w:w="2498"/>
      <w:gridCol w:w="2497"/>
      <w:gridCol w:w="2499"/>
    </w:tblGrid>
    <w:tr w:rsidR="0060067B">
      <w:tblPrEx>
        <w:tblCellMar>
          <w:top w:w="0" w:type="dxa"/>
          <w:bottom w:w="0" w:type="dxa"/>
        </w:tblCellMar>
      </w:tblPrEx>
      <w:trPr>
        <w:trHeight w:hRule="exact" w:val="1040"/>
      </w:trPr>
      <w:tc>
        <w:tcPr>
          <w:tcW w:w="2497" w:type="dxa"/>
          <w:tcBorders>
            <w:bottom w:val="nil"/>
          </w:tcBorders>
        </w:tcPr>
        <w:p w:rsidR="0060067B" w:rsidRDefault="0060067B">
          <w:pPr>
            <w:spacing w:before="20"/>
            <w:rPr>
              <w:sz w:val="16"/>
            </w:rPr>
          </w:pPr>
          <w:r>
            <w:rPr>
              <w:sz w:val="16"/>
            </w:rPr>
            <w:t>Verfasst:</w:t>
          </w:r>
        </w:p>
        <w:p w:rsidR="0060067B" w:rsidRDefault="0060067B">
          <w:pPr>
            <w:spacing w:before="120"/>
            <w:rPr>
              <w:sz w:val="16"/>
            </w:rPr>
          </w:pPr>
        </w:p>
        <w:p w:rsidR="0060067B" w:rsidRDefault="0060067B">
          <w:pPr>
            <w:spacing w:before="120"/>
            <w:rPr>
              <w:sz w:val="16"/>
            </w:rPr>
          </w:pPr>
        </w:p>
        <w:p w:rsidR="0060067B" w:rsidRDefault="0060067B">
          <w:pPr>
            <w:spacing w:after="20"/>
            <w:rPr>
              <w:sz w:val="16"/>
            </w:rPr>
          </w:pPr>
          <w:r>
            <w:rPr>
              <w:sz w:val="16"/>
            </w:rPr>
            <w:t>(</w:t>
          </w:r>
          <w:r>
            <w:rPr>
              <w:sz w:val="16"/>
            </w:rPr>
            <w:fldChar w:fldCharType="begin"/>
          </w:r>
          <w:r>
            <w:rPr>
              <w:sz w:val="16"/>
            </w:rPr>
            <w:instrText xml:space="preserve"> DOCPROPERTY "Verfasser"  \* MERGEFORMAT </w:instrText>
          </w:r>
          <w:r>
            <w:rPr>
              <w:sz w:val="16"/>
            </w:rPr>
            <w:fldChar w:fldCharType="separate"/>
          </w:r>
          <w:r w:rsidR="00315E5F">
            <w:rPr>
              <w:sz w:val="16"/>
            </w:rPr>
            <w:t>Dr. Bentzien</w:t>
          </w:r>
          <w:r>
            <w:rPr>
              <w:sz w:val="16"/>
            </w:rPr>
            <w:fldChar w:fldCharType="end"/>
          </w:r>
          <w:r>
            <w:rPr>
              <w:sz w:val="16"/>
            </w:rPr>
            <w:t>)</w:t>
          </w:r>
        </w:p>
      </w:tc>
      <w:tc>
        <w:tcPr>
          <w:tcW w:w="2498" w:type="dxa"/>
          <w:tcBorders>
            <w:bottom w:val="nil"/>
          </w:tcBorders>
        </w:tcPr>
        <w:p w:rsidR="0060067B" w:rsidRDefault="0060067B">
          <w:pPr>
            <w:spacing w:before="20"/>
            <w:rPr>
              <w:sz w:val="16"/>
            </w:rPr>
          </w:pPr>
          <w:r>
            <w:rPr>
              <w:sz w:val="16"/>
            </w:rPr>
            <w:t>Genehmigt:</w:t>
          </w:r>
        </w:p>
        <w:p w:rsidR="0060067B" w:rsidRDefault="0060067B">
          <w:pPr>
            <w:spacing w:before="120"/>
            <w:rPr>
              <w:sz w:val="16"/>
            </w:rPr>
          </w:pPr>
        </w:p>
        <w:p w:rsidR="0060067B" w:rsidRDefault="0060067B">
          <w:pPr>
            <w:spacing w:before="120"/>
            <w:rPr>
              <w:sz w:val="16"/>
            </w:rPr>
          </w:pPr>
          <w:r>
            <w:rPr>
              <w:sz w:val="16"/>
            </w:rPr>
            <w:t>Datum:</w:t>
          </w:r>
        </w:p>
        <w:p w:rsidR="0060067B" w:rsidRDefault="0060067B">
          <w:pPr>
            <w:tabs>
              <w:tab w:val="right" w:pos="4734"/>
            </w:tabs>
            <w:spacing w:after="20"/>
            <w:rPr>
              <w:sz w:val="16"/>
            </w:rPr>
          </w:pPr>
          <w:r>
            <w:rPr>
              <w:sz w:val="16"/>
            </w:rPr>
            <w:t>(</w:t>
          </w:r>
          <w:r>
            <w:rPr>
              <w:sz w:val="16"/>
            </w:rPr>
            <w:fldChar w:fldCharType="begin"/>
          </w:r>
          <w:r>
            <w:rPr>
              <w:sz w:val="16"/>
            </w:rPr>
            <w:instrText xml:space="preserve"> DOCPROPERTY "Genehmigt"  \* MERGEFORMAT </w:instrText>
          </w:r>
          <w:r>
            <w:rPr>
              <w:sz w:val="16"/>
            </w:rPr>
            <w:fldChar w:fldCharType="separate"/>
          </w:r>
          <w:r w:rsidR="00315E5F">
            <w:rPr>
              <w:sz w:val="16"/>
            </w:rPr>
            <w:t>Dr. Hiller</w:t>
          </w:r>
          <w:r>
            <w:rPr>
              <w:sz w:val="16"/>
            </w:rPr>
            <w:fldChar w:fldCharType="end"/>
          </w:r>
          <w:r>
            <w:rPr>
              <w:sz w:val="16"/>
            </w:rPr>
            <w:t>)</w:t>
          </w:r>
        </w:p>
      </w:tc>
      <w:tc>
        <w:tcPr>
          <w:tcW w:w="2497" w:type="dxa"/>
          <w:tcBorders>
            <w:bottom w:val="nil"/>
          </w:tcBorders>
        </w:tcPr>
        <w:p w:rsidR="0060067B" w:rsidRDefault="0060067B">
          <w:pPr>
            <w:spacing w:before="20"/>
            <w:rPr>
              <w:sz w:val="16"/>
            </w:rPr>
          </w:pPr>
          <w:r>
            <w:rPr>
              <w:sz w:val="16"/>
            </w:rPr>
            <w:t>Freigegeben:</w:t>
          </w:r>
        </w:p>
        <w:p w:rsidR="0060067B" w:rsidRDefault="0060067B">
          <w:pPr>
            <w:spacing w:before="120"/>
            <w:rPr>
              <w:sz w:val="16"/>
            </w:rPr>
          </w:pPr>
        </w:p>
        <w:p w:rsidR="0060067B" w:rsidRDefault="0060067B">
          <w:pPr>
            <w:spacing w:before="120"/>
            <w:rPr>
              <w:sz w:val="16"/>
            </w:rPr>
          </w:pPr>
          <w:r>
            <w:rPr>
              <w:sz w:val="16"/>
            </w:rPr>
            <w:t>Datum:</w:t>
          </w:r>
        </w:p>
        <w:p w:rsidR="0060067B" w:rsidRDefault="0060067B">
          <w:pPr>
            <w:spacing w:before="20"/>
            <w:rPr>
              <w:sz w:val="16"/>
            </w:rPr>
          </w:pPr>
          <w:r>
            <w:rPr>
              <w:sz w:val="16"/>
            </w:rPr>
            <w:t>(</w:t>
          </w:r>
          <w:r>
            <w:rPr>
              <w:sz w:val="16"/>
            </w:rPr>
            <w:fldChar w:fldCharType="begin"/>
          </w:r>
          <w:r>
            <w:rPr>
              <w:sz w:val="16"/>
            </w:rPr>
            <w:instrText xml:space="preserve"> DOCPROPERTY "QM-Beauftragter"  \* MERGEFORMAT </w:instrText>
          </w:r>
          <w:r>
            <w:rPr>
              <w:sz w:val="16"/>
            </w:rPr>
            <w:fldChar w:fldCharType="separate"/>
          </w:r>
          <w:r w:rsidR="00315E5F">
            <w:rPr>
              <w:sz w:val="16"/>
            </w:rPr>
            <w:t>Dr. Denzer</w:t>
          </w:r>
          <w:r>
            <w:rPr>
              <w:sz w:val="16"/>
            </w:rPr>
            <w:fldChar w:fldCharType="end"/>
          </w:r>
          <w:r>
            <w:rPr>
              <w:sz w:val="16"/>
            </w:rPr>
            <w:t>)</w:t>
          </w:r>
        </w:p>
      </w:tc>
      <w:tc>
        <w:tcPr>
          <w:tcW w:w="2498" w:type="dxa"/>
          <w:tcBorders>
            <w:bottom w:val="nil"/>
          </w:tcBorders>
        </w:tcPr>
        <w:p w:rsidR="0060067B" w:rsidRDefault="0060067B">
          <w:pPr>
            <w:spacing w:before="20"/>
            <w:rPr>
              <w:sz w:val="16"/>
            </w:rPr>
          </w:pPr>
          <w:r>
            <w:rPr>
              <w:sz w:val="16"/>
            </w:rPr>
            <w:t>In Kraft gesetzt:</w:t>
          </w:r>
        </w:p>
        <w:p w:rsidR="0060067B" w:rsidRDefault="0060067B">
          <w:pPr>
            <w:spacing w:before="120"/>
            <w:rPr>
              <w:sz w:val="16"/>
            </w:rPr>
          </w:pPr>
        </w:p>
        <w:p w:rsidR="0060067B" w:rsidRDefault="0060067B">
          <w:pPr>
            <w:spacing w:before="120"/>
            <w:rPr>
              <w:sz w:val="16"/>
            </w:rPr>
          </w:pPr>
          <w:r>
            <w:rPr>
              <w:sz w:val="16"/>
            </w:rPr>
            <w:t>Datum:</w:t>
          </w:r>
        </w:p>
        <w:p w:rsidR="0060067B" w:rsidRDefault="0060067B">
          <w:pPr>
            <w:tabs>
              <w:tab w:val="right" w:pos="4751"/>
            </w:tabs>
            <w:spacing w:after="20"/>
            <w:rPr>
              <w:sz w:val="12"/>
            </w:rPr>
          </w:pPr>
          <w:r>
            <w:rPr>
              <w:sz w:val="16"/>
            </w:rPr>
            <w:t>(</w:t>
          </w:r>
          <w:r w:rsidR="00EF5A8B">
            <w:rPr>
              <w:sz w:val="16"/>
            </w:rPr>
            <w:t>Dr. Peine, Inst.-Leite</w:t>
          </w:r>
          <w:r>
            <w:rPr>
              <w:sz w:val="16"/>
            </w:rPr>
            <w:t>r)</w:t>
          </w:r>
          <w:r>
            <w:rPr>
              <w:sz w:val="16"/>
            </w:rPr>
            <w:tab/>
            <w:t>(Prof. Kühnl, Inst.-Direktor)</w:t>
          </w:r>
        </w:p>
      </w:tc>
    </w:tr>
    <w:tr w:rsidR="0060067B">
      <w:tblPrEx>
        <w:tblCellMar>
          <w:top w:w="0" w:type="dxa"/>
          <w:bottom w:w="0" w:type="dxa"/>
        </w:tblCellMar>
      </w:tblPrEx>
      <w:trPr>
        <w:cantSplit/>
      </w:trPr>
      <w:tc>
        <w:tcPr>
          <w:tcW w:w="9991" w:type="dxa"/>
          <w:gridSpan w:val="4"/>
          <w:tcBorders>
            <w:left w:val="nil"/>
            <w:right w:val="nil"/>
          </w:tcBorders>
        </w:tcPr>
        <w:p w:rsidR="0060067B" w:rsidRDefault="0060067B">
          <w:pPr>
            <w:pStyle w:val="Titel"/>
          </w:pPr>
          <w:fldSimple w:instr=" DOCPROPERTY &quot;Title&quot;  \* MERGEFORMAT ">
            <w:r w:rsidR="00315E5F">
              <w:t>VVD - Gebrauchs- und Fachinformation GFPQ Citrat (UKE)</w:t>
            </w:r>
          </w:fldSimple>
        </w:p>
      </w:tc>
    </w:tr>
  </w:tbl>
  <w:p w:rsidR="0060067B" w:rsidRDefault="0060067B">
    <w:pPr>
      <w:rPr>
        <w:sz w:val="12"/>
      </w:rPr>
    </w:pPr>
  </w:p>
  <w:p w:rsidR="0060067B" w:rsidRDefault="0060067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num w:numId="1">
    <w:abstractNumId w:val="0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3700"/>
    <w:rsid w:val="00003AF7"/>
    <w:rsid w:val="0001708F"/>
    <w:rsid w:val="00307C75"/>
    <w:rsid w:val="003123E4"/>
    <w:rsid w:val="00315E5F"/>
    <w:rsid w:val="00373700"/>
    <w:rsid w:val="00380D76"/>
    <w:rsid w:val="00383872"/>
    <w:rsid w:val="003D0462"/>
    <w:rsid w:val="00530BE8"/>
    <w:rsid w:val="00561F3B"/>
    <w:rsid w:val="0060067B"/>
    <w:rsid w:val="006A7628"/>
    <w:rsid w:val="007058BC"/>
    <w:rsid w:val="00786814"/>
    <w:rsid w:val="008354C6"/>
    <w:rsid w:val="00916CBF"/>
    <w:rsid w:val="009E69E2"/>
    <w:rsid w:val="00A44E02"/>
    <w:rsid w:val="00A858CF"/>
    <w:rsid w:val="00AD0636"/>
    <w:rsid w:val="00C729CC"/>
    <w:rsid w:val="00D25391"/>
    <w:rsid w:val="00D868F6"/>
    <w:rsid w:val="00D9697C"/>
    <w:rsid w:val="00EF5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next w:val="StandardBlocksatz"/>
    <w:qFormat/>
    <w:rPr>
      <w:rFonts w:ascii="Arial" w:hAnsi="Arial"/>
    </w:rPr>
  </w:style>
  <w:style w:type="paragraph" w:styleId="berschrift1">
    <w:name w:val="heading 1"/>
    <w:basedOn w:val="StandardBlocksatz"/>
    <w:next w:val="StandardBlocksatz"/>
    <w:qFormat/>
    <w:pPr>
      <w:keepNext/>
      <w:spacing w:before="240" w:after="120"/>
      <w:outlineLvl w:val="0"/>
    </w:pPr>
    <w:rPr>
      <w:b/>
      <w:caps/>
      <w:kern w:val="28"/>
      <w:sz w:val="22"/>
    </w:rPr>
  </w:style>
  <w:style w:type="paragraph" w:styleId="berschrift2">
    <w:name w:val="heading 2"/>
    <w:basedOn w:val="StandardBlocksatz"/>
    <w:next w:val="StandardBlocksatz"/>
    <w:qFormat/>
    <w:pPr>
      <w:keepNext/>
      <w:spacing w:before="240" w:after="120"/>
      <w:outlineLvl w:val="1"/>
    </w:pPr>
    <w:rPr>
      <w:b/>
      <w:sz w:val="22"/>
    </w:rPr>
  </w:style>
  <w:style w:type="paragraph" w:styleId="berschrift3">
    <w:name w:val="heading 3"/>
    <w:basedOn w:val="StandardBlocksatz"/>
    <w:next w:val="StandardBlocksatz"/>
    <w:qFormat/>
    <w:pPr>
      <w:keepNext/>
      <w:spacing w:before="120" w:after="60"/>
      <w:outlineLvl w:val="2"/>
    </w:pPr>
    <w:rPr>
      <w:b/>
    </w:rPr>
  </w:style>
  <w:style w:type="paragraph" w:styleId="berschrift4">
    <w:name w:val="heading 4"/>
    <w:basedOn w:val="StandardBlocksatz"/>
    <w:next w:val="StandardBlocksatz"/>
    <w:qFormat/>
    <w:pPr>
      <w:keepNext/>
      <w:spacing w:before="120" w:after="60"/>
      <w:outlineLvl w:val="3"/>
    </w:pPr>
    <w:rPr>
      <w:i/>
    </w:rPr>
  </w:style>
  <w:style w:type="paragraph" w:styleId="berschrift5">
    <w:name w:val="heading 5"/>
    <w:basedOn w:val="StandardBlocksatz"/>
    <w:next w:val="StandardBlocksatz"/>
    <w:qFormat/>
    <w:pPr>
      <w:spacing w:before="120" w:after="60"/>
      <w:outlineLvl w:val="4"/>
    </w:p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Kopfzeile">
    <w:name w:val="header"/>
    <w:basedOn w:val="StandardBlocksatz"/>
    <w:pPr>
      <w:tabs>
        <w:tab w:val="center" w:pos="4536"/>
        <w:tab w:val="right" w:pos="9072"/>
      </w:tabs>
    </w:pPr>
  </w:style>
  <w:style w:type="paragraph" w:styleId="Fuzeile">
    <w:name w:val="footer"/>
    <w:basedOn w:val="StandardBlocksatz"/>
    <w:pPr>
      <w:tabs>
        <w:tab w:val="center" w:pos="4536"/>
        <w:tab w:val="right" w:pos="9072"/>
      </w:tabs>
    </w:pPr>
  </w:style>
  <w:style w:type="paragraph" w:styleId="Titel">
    <w:name w:val="Title"/>
    <w:basedOn w:val="StandardBlocksatz"/>
    <w:qFormat/>
    <w:pPr>
      <w:spacing w:before="120" w:after="120"/>
      <w:jc w:val="center"/>
      <w:outlineLvl w:val="0"/>
    </w:pPr>
    <w:rPr>
      <w:b/>
      <w:kern w:val="28"/>
      <w:sz w:val="24"/>
    </w:rPr>
  </w:style>
  <w:style w:type="paragraph" w:customStyle="1" w:styleId="StandardBlocksatz">
    <w:name w:val="Standard Blocksatz"/>
    <w:basedOn w:val="Standard"/>
    <w:pPr>
      <w:jc w:val="both"/>
    </w:pPr>
  </w:style>
  <w:style w:type="character" w:styleId="Seitenzahl">
    <w:name w:val="page number"/>
    <w:basedOn w:val="Absatz-Standardschriftart"/>
  </w:style>
  <w:style w:type="paragraph" w:styleId="Dokumentstruktur">
    <w:name w:val="Document Map"/>
    <w:basedOn w:val="Standard"/>
    <w:semiHidden/>
    <w:pPr>
      <w:shd w:val="clear" w:color="auto" w:fill="000080"/>
    </w:pPr>
    <w:rPr>
      <w:rFonts w:ascii="Tahoma" w:hAnsi="Tahoma"/>
    </w:rPr>
  </w:style>
  <w:style w:type="paragraph" w:styleId="Textkrper">
    <w:name w:val="Body Text"/>
    <w:basedOn w:val="Standard"/>
    <w:link w:val="TextkrperZchn"/>
    <w:rsid w:val="00561F3B"/>
    <w:pPr>
      <w:tabs>
        <w:tab w:val="left" w:pos="567"/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</w:tabs>
      <w:jc w:val="both"/>
    </w:pPr>
    <w:rPr>
      <w:rFonts w:cs="Arial"/>
      <w:sz w:val="24"/>
      <w:szCs w:val="24"/>
    </w:rPr>
  </w:style>
  <w:style w:type="character" w:customStyle="1" w:styleId="TextkrperZchn">
    <w:name w:val="Textkörper Zchn"/>
    <w:link w:val="Textkrper"/>
    <w:rsid w:val="00561F3B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VVD Vorlage 3-6-3[N03]Rev3</Template>
  <TotalTime>0</TotalTime>
  <Pages>4</Pages>
  <Words>1610</Words>
  <Characters>10144</Characters>
  <Application>Microsoft Office Word</Application>
  <DocSecurity>0</DocSecurity>
  <Lines>84</Lines>
  <Paragraphs>23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VVD - Gebrauchs- und Fachinformation GFPQ Citrat (UKE)</vt:lpstr>
    </vt:vector>
  </TitlesOfParts>
  <Company/>
  <LinksUpToDate>false</LinksUpToDate>
  <CharactersWithSpaces>11731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VVD - Gebrauchs- und Fachinformation GFPQ Citrat (UKE)</dc:title>
  <dc:subject/>
  <dc:creator>Geffken, Maria</dc:creator>
  <cp:keywords/>
  <dc:description>basiert auf SOP 4.01.01 Anlage 02 Version 02</dc:description>
  <cp:lastModifiedBy>Hiller, Andrea</cp:lastModifiedBy>
  <cp:revision>2</cp:revision>
  <cp:lastPrinted>2005-09-14T11:18:00Z</cp:lastPrinted>
  <dcterms:created xsi:type="dcterms:W3CDTF">2020-01-28T07:11:00Z</dcterms:created>
  <dcterms:modified xsi:type="dcterms:W3CDTF">2020-01-28T07:11:00Z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Version">
    <vt:lpwstr>[004]</vt:lpwstr>
  </property>
  <property fmtid="{D5CDD505-2E9C-101B-9397-08002B2CF9AE}" pid="3" name="gültig ab">
    <vt:lpwstr>15.03.2018</vt:lpwstr>
  </property>
  <property fmtid="{D5CDD505-2E9C-101B-9397-08002B2CF9AE}" pid="4" name="Dokument">
    <vt:lpwstr>9-58.513.1-0</vt:lpwstr>
  </property>
  <property fmtid="{D5CDD505-2E9C-101B-9397-08002B2CF9AE}" pid="5" name="Verfasser">
    <vt:lpwstr>Dr. Bentzien</vt:lpwstr>
  </property>
  <property fmtid="{D5CDD505-2E9C-101B-9397-08002B2CF9AE}" pid="6" name="Genehmigt">
    <vt:lpwstr>Dr. Hiller</vt:lpwstr>
  </property>
  <property fmtid="{D5CDD505-2E9C-101B-9397-08002B2CF9AE}" pid="7" name="QM-Beauftragter">
    <vt:lpwstr>Dr. Denzer</vt:lpwstr>
  </property>
</Properties>
</file>