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52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9285"/>
      </w:tblGrid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9852" w:type="dxa"/>
            <w:gridSpan w:val="2"/>
          </w:tcPr>
          <w:p w:rsidR="00D94BE5" w:rsidRDefault="00D94BE5" w:rsidP="002E6ADF">
            <w:pPr>
              <w:pStyle w:val="berschrift1"/>
              <w:jc w:val="center"/>
            </w:pPr>
            <w:bookmarkStart w:id="0" w:name="_GoBack"/>
            <w:bookmarkEnd w:id="0"/>
            <w:r>
              <w:t>Gebrauchsinformation und Fachinformation</w:t>
            </w:r>
          </w:p>
          <w:p w:rsidR="00D94BE5" w:rsidRDefault="00D94BE5" w:rsidP="002E6ADF">
            <w:pPr>
              <w:jc w:val="center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9852" w:type="dxa"/>
            <w:gridSpan w:val="2"/>
          </w:tcPr>
          <w:p w:rsidR="00D94BE5" w:rsidRPr="00502534" w:rsidRDefault="00D94BE5" w:rsidP="002E6ADF">
            <w:pPr>
              <w:jc w:val="center"/>
              <w:rPr>
                <w:b/>
              </w:rPr>
            </w:pPr>
            <w:r w:rsidRPr="00502534">
              <w:rPr>
                <w:b/>
              </w:rPr>
              <w:t>Gefrorenes Frischplasma aus Vollblutentnahme</w:t>
            </w:r>
          </w:p>
          <w:p w:rsidR="00D94BE5" w:rsidRDefault="00D94BE5" w:rsidP="002E6ADF">
            <w:pPr>
              <w:jc w:val="center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Identifizierung des Arzneimittels</w:t>
            </w:r>
          </w:p>
          <w:p w:rsidR="00D94BE5" w:rsidRDefault="00D94BE5" w:rsidP="002E6ADF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a) Bezeichnung</w:t>
            </w:r>
          </w:p>
          <w:p w:rsidR="00D94BE5" w:rsidRDefault="00D94BE5" w:rsidP="002E6ADF">
            <w:pPr>
              <w:jc w:val="both"/>
            </w:pPr>
            <w:r>
              <w:t>GFPQ CPD (UKE)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b) Stoffgruppe </w:t>
            </w:r>
          </w:p>
          <w:p w:rsidR="00D94BE5" w:rsidRDefault="00D94BE5" w:rsidP="002E6ADF">
            <w:pPr>
              <w:jc w:val="both"/>
            </w:pPr>
            <w:r>
              <w:t>Blutzubereitung, Plasma zur Transfusion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Anwendungsgebiete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Notfallsubstitution einer klinisch relevanten Blutungsneigung oder einer manife</w:t>
            </w:r>
            <w:r>
              <w:t>s</w:t>
            </w:r>
            <w:r>
              <w:t>ten Blutung bei komplexen Störungen des Hämostasesystems, besonders bei schw</w:t>
            </w:r>
            <w:r>
              <w:t>e</w:t>
            </w:r>
            <w:r>
              <w:t>rem Leberparenchymschaden oder im Rahmen einer disseminierten intrav</w:t>
            </w:r>
            <w:r>
              <w:t>a</w:t>
            </w:r>
            <w:r>
              <w:t>salen Gerinnung (DIC). In jedem Fall hat die Behandlung der ursächlichen Krankheit Pr</w:t>
            </w:r>
            <w:r>
              <w:t>i</w:t>
            </w:r>
            <w:r>
              <w:t>orität. Da eine DIC immer eine Komplikation einer schweren Grunderkrankung (z.B. Sepsis, Schock, Polytrauma) darstellt, sollte GFP nicht ohne Behan</w:t>
            </w:r>
            <w:r>
              <w:t>d</w:t>
            </w:r>
            <w:r>
              <w:t>lung der zugrunde liegenden Pathomechanismen verabreicht werden.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Verdünnungs- und/oder Verlustkoagulopathien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Substitution bei Faktor V – und / oder Faktor XI - Mangel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Thrombotisch-thrombozytopenische Purpura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Austauschtransfusion</w:t>
            </w:r>
          </w:p>
          <w:p w:rsidR="00D94BE5" w:rsidRDefault="00D94BE5" w:rsidP="002E6ADF">
            <w:pPr>
              <w:jc w:val="both"/>
            </w:pPr>
            <w:r>
              <w:t xml:space="preserve">Eine Gabe von GFP ist </w:t>
            </w:r>
            <w:r>
              <w:rPr>
                <w:u w:val="single"/>
              </w:rPr>
              <w:t>nicht</w:t>
            </w:r>
            <w:r>
              <w:t xml:space="preserve"> angezeigt als Volumen-, Eiweiß- und Albuminersatz, zur Immunglobulinsubstitution und zur parenteralen Ernährung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Informationen zur Anwendung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a) Gegenanzeigen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Absolut: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Plasmaeiweiß-Unverträglichkeit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Relativ: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Kardiale Dekompensation, Hypervolämie, Hyperhydratation, Lungenödem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nachgewiesener IgA-Mangel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b) Vorsichtsmaßnahmen für die Anwendung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Plasma wird AB0-gleich über ein Transfusionsgerät mit Standardfilter der Porengr</w:t>
            </w:r>
            <w:r>
              <w:t>ö</w:t>
            </w:r>
            <w:r>
              <w:t xml:space="preserve">ße 170 bis 230 µm transfundiert. In Ausnahmefällen können auch AB0-kompatible Plasmen (s. </w:t>
            </w:r>
            <w:r w:rsidRPr="007811FD">
              <w:t>Querschnitts-Leitlinien</w:t>
            </w:r>
            <w:r>
              <w:t>) transfundiert werden. Es sollte in der Regel schnell infundiert werden, dem Zustand des Patienten entsprechend ist der Kreislauf zu kontrollieren. Werden mehr als 50 ml/min beim Erwachsenen appliziert, ist eine zusätzliche Gabe von Ka</w:t>
            </w:r>
            <w:r>
              <w:t>l</w:t>
            </w:r>
            <w:r>
              <w:t>zium erforderlich.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Bei neonataler Transfusion sollte sorgfältig auf Anzeichen einer Zitratintoxikation g</w:t>
            </w:r>
            <w:r>
              <w:t>e</w:t>
            </w:r>
            <w:r>
              <w:t>achtet und die Transfusionsgeschwindigkeit dem klinischen Zustand angepasst we</w:t>
            </w:r>
            <w:r>
              <w:t>r</w:t>
            </w:r>
            <w:r>
              <w:t>den.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c) Wechselwirkungen mit anderen Arzneimitteln, soweit sie die Wirkungsweise des Arzneimittels beeinflussen können und Hauptinkompatibilitäten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Wechselwirkungen mit anderen Mitteln sind nicht bekannt. Wegen der möglichen A</w:t>
            </w:r>
            <w:r>
              <w:t>k</w:t>
            </w:r>
            <w:r>
              <w:t>tivierung der Gerinnungsfaktoren dürfen kalziumhaltige Lösungen nicht gleichzeitig in demselben Schlauchsystem appliziert werden. Die Beimischung von Medika</w:t>
            </w:r>
            <w:r>
              <w:softHyphen/>
              <w:t>menten zum Plasma ist nicht zulässig.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d) Verwendung für besondere Personengruppen</w:t>
            </w:r>
          </w:p>
          <w:p w:rsidR="00D94BE5" w:rsidRDefault="00D94BE5" w:rsidP="002E6ADF">
            <w:pPr>
              <w:jc w:val="both"/>
            </w:pPr>
            <w:r>
              <w:rPr>
                <w:u w:val="single"/>
              </w:rPr>
              <w:t>Schwangerschaft und Stillzeit:</w:t>
            </w:r>
            <w:r>
              <w:t xml:space="preserve"> Bei bestimmungsgemäßem Gebrauch bestehen keine Einwände.</w:t>
            </w:r>
          </w:p>
          <w:p w:rsidR="00D94BE5" w:rsidRDefault="00D94BE5" w:rsidP="002E6ADF">
            <w:pPr>
              <w:jc w:val="both"/>
            </w:pPr>
            <w:r>
              <w:rPr>
                <w:u w:val="single"/>
              </w:rPr>
              <w:t xml:space="preserve">Auswirkung auf Kraftfahrer und die Bedienung von Maschinen: </w:t>
            </w:r>
            <w:r>
              <w:t>Nach der Transfusion von Plasma sollte eine Ruhepause von mindestens 1/2 Stunde ei</w:t>
            </w:r>
            <w:r>
              <w:t>n</w:t>
            </w:r>
            <w:r>
              <w:t>gehalten werden.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e) Warnhinweise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sind nicht angeordnet.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Hinweise zur ordnungsgemäßen Anwendung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a) Dosierung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Die Dosierung richtet sich nach dem klinischen Bild und dem Ergebnis von Blutgeri</w:t>
            </w:r>
            <w:r>
              <w:t>n</w:t>
            </w:r>
            <w:r>
              <w:t>nungsuntersuchungen. Zur Orientierung hinsichtlich der initialen Dosis gilt die Faus</w:t>
            </w:r>
            <w:r>
              <w:t>t</w:t>
            </w:r>
            <w:r>
              <w:t xml:space="preserve">regel: 1 ml Plasma/kg Körpergewicht erhöht den Faktorengehalt um </w:t>
            </w:r>
            <w:r w:rsidRPr="007811FD">
              <w:t>bis zu 1</w:t>
            </w:r>
            <w:r>
              <w:t xml:space="preserve"> %. Um eine hämostyptische Wirkung </w:t>
            </w:r>
            <w:r>
              <w:lastRenderedPageBreak/>
              <w:t>zu erreichen, sind beim Erwachsenen initial minde</w:t>
            </w:r>
            <w:r>
              <w:t>s</w:t>
            </w:r>
            <w:r>
              <w:t>tens 3 bis 4 Einheiten Plasma erforderlich.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b) Art der Anwendung</w:t>
            </w:r>
          </w:p>
          <w:p w:rsidR="00D94BE5" w:rsidRDefault="00D94BE5" w:rsidP="002E6ADF">
            <w:pPr>
              <w:jc w:val="both"/>
            </w:pPr>
            <w:r>
              <w:t xml:space="preserve">zur i. v. Infusion nach Auftauen 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c) Häufigkeit der Verabreichung</w:t>
            </w:r>
          </w:p>
          <w:p w:rsidR="00D94BE5" w:rsidRDefault="00D94BE5" w:rsidP="002E6ADF">
            <w:pPr>
              <w:jc w:val="both"/>
            </w:pPr>
            <w:r>
              <w:t>nach Indikationsstellung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d) Dauer der Behandlung</w:t>
            </w:r>
          </w:p>
          <w:p w:rsidR="00D94BE5" w:rsidRDefault="00D94BE5" w:rsidP="002E6ADF">
            <w:pPr>
              <w:jc w:val="both"/>
            </w:pPr>
            <w:r>
              <w:t xml:space="preserve">nach Indikationsstellung 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e) Überdosierung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Bei hoher Dosis besteht die Gefahr einer Kreislaufüberlastung.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f) Notfallmaßnahmen</w:t>
            </w: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</w:pPr>
            <w:r>
              <w:t>Treten Unverträglichkeiten auf, so ist die Transfusion unverzüglich abzubrechen, der Venenzugang jedoch offen zu halten und eine Behandlung, der Schwere der Sy</w:t>
            </w:r>
            <w:r>
              <w:t>m</w:t>
            </w:r>
            <w:r>
              <w:t>ptome gemäß, nach den aktuellen Regeln der Notfalltherapie einzuleiten. Bei Hype</w:t>
            </w:r>
            <w:r>
              <w:t>r</w:t>
            </w:r>
            <w:r>
              <w:t>volämie kann eine Volumenreduktion angezeigt sein.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9285" w:type="dxa"/>
          </w:tcPr>
          <w:p w:rsidR="00D94BE5" w:rsidRDefault="00D94BE5" w:rsidP="002E6ADF">
            <w:pPr>
              <w:numPr>
                <w:ilvl w:val="12"/>
                <w:numId w:val="0"/>
              </w:numPr>
              <w:ind w:right="284"/>
              <w:jc w:val="both"/>
              <w:rPr>
                <w:b/>
              </w:rPr>
            </w:pPr>
            <w:r>
              <w:rPr>
                <w:b/>
              </w:rPr>
              <w:t>Nebenwirkungen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ind w:right="284"/>
              <w:jc w:val="both"/>
            </w:pPr>
            <w:r w:rsidRPr="007811FD">
              <w:t>Insbesondere bei hohen Transfusionsgeschwindigkeiten und Transfusionsvol</w:t>
            </w:r>
            <w:r w:rsidRPr="007811FD">
              <w:t>u</w:t>
            </w:r>
            <w:r w:rsidRPr="007811FD">
              <w:t>mina kann es zur Volumenüberlastung des Kreislaufs (Hypervolämie, transfus</w:t>
            </w:r>
            <w:r w:rsidRPr="007811FD">
              <w:t>i</w:t>
            </w:r>
            <w:r w:rsidRPr="007811FD">
              <w:t>onsassoziierte zirkulatorische Überladung) kommen</w:t>
            </w:r>
            <w:r w:rsidRPr="00BE07D0">
              <w:rPr>
                <w:color w:val="0000FF"/>
              </w:rPr>
              <w:t xml:space="preserve">, </w:t>
            </w:r>
            <w:r w:rsidRPr="007811FD">
              <w:t>sie</w:t>
            </w:r>
            <w:r>
              <w:t xml:space="preserve"> kann insbesondere bei Herzkreislauferkrankungen zu akutem Herzversagen mit Lu</w:t>
            </w:r>
            <w:r>
              <w:t>n</w:t>
            </w:r>
            <w:r>
              <w:t>genödem führen.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Zitratintoxikationen sind bei schneller Transfusion und bei größeren Volumina in</w:t>
            </w:r>
            <w:r>
              <w:t>s</w:t>
            </w:r>
            <w:r>
              <w:t>besondere bei Leberfunktionsstörung, Schock, Azidose, Hypothermie sowie bei Neug</w:t>
            </w:r>
            <w:r>
              <w:t>e</w:t>
            </w:r>
            <w:r>
              <w:t>borenen möglich.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 xml:space="preserve">Transfusionsassoziierte akute Lungeninsuffizienz (TRALI) 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In seltenen Fällen werden anaphylaktoide Reaktionen beobachtet.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Eine Bildung von Hemmkörpern gegen Gerinnungsfaktoren ist möglich.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Das Risiko einer bakteriellen Kontamination lässt sich nicht mit letzter Sicherheit au</w:t>
            </w:r>
            <w:r>
              <w:t>s</w:t>
            </w:r>
            <w:r>
              <w:t>schließen.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Bei der Anwendung von aus menschlichem Blut hergestellten Arzneimitteln ist die Übertragung von Infektionskrankheiten durch Übertragung von Erregern - auch bi</w:t>
            </w:r>
            <w:r>
              <w:t>s</w:t>
            </w:r>
            <w:r>
              <w:t>lang unbekannter Natur - nicht völlig auszuschließen. Dies gilt z.B. für Hepatitiden, seltener für das erworbene Immundefektsyndrom (AIDS).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Im Vereinigten Königreich Großbritannien und Nordirland wurde über Einzelfälle berichtet, in denen bei Empfängern von Transfusionen, deren Spender später an der varianten Creutzfeldt-Jakob Krankheit (vCJK) erkrankten, ebenfalls der „Err</w:t>
            </w:r>
            <w:r>
              <w:rPr>
                <w:szCs w:val="24"/>
              </w:rPr>
              <w:t>e</w:t>
            </w:r>
            <w:r>
              <w:rPr>
                <w:szCs w:val="24"/>
              </w:rPr>
              <w:t>ger“ (so genannte Prionen) nachgewiesen wurde. Bei der vCJK handelt es sich um eine in Deutschland bislang nicht beobachtete Erkrankung, die durch den Verzehr von bestimmten Nahrungsmitteln aus BSE-kranken Rindern erworben werden kann.</w:t>
            </w:r>
          </w:p>
          <w:p w:rsidR="00D94BE5" w:rsidRDefault="00D94BE5" w:rsidP="002E6ADF">
            <w:pPr>
              <w:pStyle w:val="StandardBlocksatz"/>
            </w:pPr>
          </w:p>
          <w:p w:rsidR="00D94BE5" w:rsidRPr="00F80AB9" w:rsidRDefault="00D94BE5" w:rsidP="002E6ADF">
            <w:pPr>
              <w:ind w:left="283"/>
              <w:jc w:val="both"/>
              <w:rPr>
                <w:u w:val="single"/>
              </w:rPr>
            </w:pPr>
            <w:r w:rsidRPr="00F80AB9">
              <w:rPr>
                <w:u w:val="single"/>
              </w:rPr>
              <w:t>Meldung des Verdachts auf Nebenwirkungen</w:t>
            </w:r>
          </w:p>
          <w:p w:rsidR="00D94BE5" w:rsidRPr="00AF4A79" w:rsidRDefault="00D94BE5" w:rsidP="002E6ADF">
            <w:pPr>
              <w:ind w:left="283"/>
              <w:jc w:val="both"/>
              <w:rPr>
                <w:color w:val="00B0F0"/>
              </w:rPr>
            </w:pPr>
          </w:p>
          <w:p w:rsidR="00D94BE5" w:rsidRPr="00F80AB9" w:rsidRDefault="00D94BE5" w:rsidP="002E6ADF">
            <w:pPr>
              <w:ind w:left="283"/>
              <w:jc w:val="both"/>
            </w:pPr>
            <w:r w:rsidRPr="00F80AB9">
              <w:t>Die Meldung des Verdachts auf Nebenwirkungen nach der Zulassung ist von gr</w:t>
            </w:r>
            <w:r w:rsidRPr="00F80AB9">
              <w:t>o</w:t>
            </w:r>
            <w:r w:rsidRPr="00F80AB9">
              <w:t>ßer Wichtigkeit. Sie ermöglicht eine kontinuierliche Überwachung des Nutzen-Risiko-Verhältnisses des Arzneimittels. Angehörige von Gesundheitsberufen sind aufgefo</w:t>
            </w:r>
            <w:r w:rsidRPr="00F80AB9">
              <w:t>r</w:t>
            </w:r>
            <w:r w:rsidRPr="00F80AB9">
              <w:t>dert, jeden Verdachtsfall einer Nebenwirkung dem Bundesinstitut für Impfstoffe und biomedizinische Arzneimittel, Paul-Ehrlich-Institut, Paul-Ehrlich-Straße 51 – 59, 63225 Langen, Telefon +49 6 10 37 70, Telefax: +49 61 03 77 12 34, Webs</w:t>
            </w:r>
            <w:r w:rsidRPr="00F80AB9">
              <w:t>i</w:t>
            </w:r>
            <w:r w:rsidRPr="00F80AB9">
              <w:t>te: www.pei.de anzuzeigen.</w:t>
            </w:r>
          </w:p>
          <w:p w:rsidR="00D94BE5" w:rsidRPr="00AF4A79" w:rsidRDefault="00D94BE5" w:rsidP="002E6ADF">
            <w:pPr>
              <w:ind w:left="283"/>
              <w:jc w:val="both"/>
              <w:rPr>
                <w:color w:val="00B0F0"/>
              </w:rPr>
            </w:pPr>
          </w:p>
          <w:p w:rsidR="00D94BE5" w:rsidRPr="00F80AB9" w:rsidRDefault="00D94BE5" w:rsidP="002E6ADF">
            <w:pPr>
              <w:ind w:left="283"/>
              <w:jc w:val="both"/>
            </w:pPr>
            <w:r w:rsidRPr="00F80AB9">
              <w:t>Patienten sind darüber zu informieren, dass sie sich an Ihren Arzt oder das medizin</w:t>
            </w:r>
            <w:r w:rsidRPr="00F80AB9">
              <w:t>i</w:t>
            </w:r>
            <w:r w:rsidRPr="00F80AB9">
              <w:t>sche Fachpersonal wenden sollen, wenn sie Nebenwirkungen bemerken. Dies gilt auch für Nebenwirkungen, die nicht in dieser Gebrauchsinformation und Fachinfo</w:t>
            </w:r>
            <w:r w:rsidRPr="00F80AB9">
              <w:t>r</w:t>
            </w:r>
            <w:r w:rsidRPr="00F80AB9">
              <w:t>mation angegeben sind. Patienten können Nebenwirkungen auch direkt dem Paul-Ehrlich-Institut anzeigen. Indem Patienten Nebenwirkungen melden, können sie dazu beitragen, dass mehr Informationen über die Sicherheit dieses Arzneimittels zur Ve</w:t>
            </w:r>
            <w:r w:rsidRPr="00F80AB9">
              <w:t>r</w:t>
            </w:r>
            <w:r w:rsidRPr="00F80AB9">
              <w:t>fügung gestellt werden.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Pharmakologische Eigenschaften</w:t>
            </w:r>
          </w:p>
          <w:p w:rsidR="00D94BE5" w:rsidRDefault="00D94BE5" w:rsidP="002E6ADF">
            <w:pPr>
              <w:jc w:val="both"/>
            </w:pPr>
            <w:r>
              <w:t>Das Plasma einer Einzelblutspende in Stabilisatorlösung enthält neben den Geri</w:t>
            </w:r>
            <w:r>
              <w:t>n</w:t>
            </w:r>
            <w:r>
              <w:t xml:space="preserve">nungs- und Fibrinolyseproenzymen auch deren Inhibitoren. Die Proteinkonzentration ist abhängig vom Eiweißspiegel des einzelnen </w:t>
            </w:r>
            <w:smartTag w:uri="urn:schemas-microsoft-com:office:smarttags" w:element="PersonName">
              <w:r>
                <w:t>Blutspende</w:t>
              </w:r>
            </w:smartTag>
            <w:r>
              <w:t>rs. Die Aktivität der im au</w:t>
            </w:r>
            <w:r>
              <w:t>f</w:t>
            </w:r>
            <w:r>
              <w:t>getauten Plasma gemessenen Enzyme und I</w:t>
            </w:r>
            <w:r>
              <w:t>n</w:t>
            </w:r>
            <w:r>
              <w:t xml:space="preserve">hibitoren unterliegt individuellen Schwankungen und muss mindestens 70% ihrer ursprünglichen Aktivität betragen. Gefrorenes Frischplasma enthält weder körpereigene Substanzen in </w:t>
            </w:r>
            <w:r>
              <w:lastRenderedPageBreak/>
              <w:t>unphysiolog</w:t>
            </w:r>
            <w:r>
              <w:t>i</w:t>
            </w:r>
            <w:r>
              <w:t>scher Konzentration noch körperfremde Stoffe.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7.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Weitere Hinweise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a) Angaben zur Aufbewahrung und Haltbarkeit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Gefrorenes Frischplasma „GFPQ CPD (UKE)“ ist 24 Monate bei -37 bis -73°C bis zu dem auf dem Etikett angegebenen Verfalldatum haltbar. (Kühlkette b</w:t>
            </w:r>
            <w:r>
              <w:t>e</w:t>
            </w:r>
            <w:r>
              <w:t>achten).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 xml:space="preserve">Plasma darf nach Ablauf des Verfalldatums nicht mehr angewendet werden. 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Gefrorenes Plasma muss unmittelbar vor der Infusion bei Temperaturen nicht über 37°C aufgetaut werden. Alle Proteinniederschläge (Kryoproteine) müssen gelöst sein, deshalb ist während des Auftauvorgangs auf gute Durchmischung des Be</w:t>
            </w:r>
            <w:r>
              <w:t>u</w:t>
            </w:r>
            <w:r>
              <w:t xml:space="preserve">telinhaltes zu achten, Schütteln ist zu vermeiden. 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rPr>
                <w:szCs w:val="24"/>
              </w:rPr>
              <w:t>Zum Auftauen der Plasmen dürfen nur für diesen Zweck geeignete Geräte eing</w:t>
            </w:r>
            <w:r>
              <w:rPr>
                <w:szCs w:val="24"/>
              </w:rPr>
              <w:t>e</w:t>
            </w:r>
            <w:r>
              <w:rPr>
                <w:szCs w:val="24"/>
              </w:rPr>
              <w:t>setzt werden.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Das Risiko der bakteriellen Kontamination des GFP beim Auftauen muss vermi</w:t>
            </w:r>
            <w:r>
              <w:t>e</w:t>
            </w:r>
            <w:r>
              <w:t xml:space="preserve">den werden. Der tiefgefrorene Beutel ist zerbrechlich. 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b/>
              </w:rPr>
            </w:pPr>
            <w:r>
              <w:t>Ein durch das Transfusionsbesteck geöffneter Plasmabeutel muss unverzüglich, spätestens jedoch innerhalb von 6 Stunden transfundiert werden.</w:t>
            </w:r>
          </w:p>
          <w:p w:rsidR="00D94BE5" w:rsidRDefault="00D94BE5" w:rsidP="00D94BE5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</w:pPr>
            <w:r>
              <w:t>Aufgetautes Plasma darf nicht wieder für Transfusionszwecke eingefroren werden.</w:t>
            </w: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b) Optische Prüfung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t>Unmittelbar vor der Transfusion muss jeder Plasmabeutel einer optischen Qualität</w:t>
            </w:r>
            <w:r>
              <w:t>s</w:t>
            </w:r>
            <w:r>
              <w:t>prüfung unterzogen werden. Der Inhalt beschädigter Beutel (z.B. Risse in der Folie) darf auf keinen Fall zur Transfusion verwendet we</w:t>
            </w:r>
            <w:r>
              <w:t>r</w:t>
            </w:r>
            <w:r>
              <w:t xml:space="preserve">den. 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c) Zusammensetzung des Fertigarzneimittels</w:t>
            </w:r>
          </w:p>
          <w:p w:rsidR="00D94BE5" w:rsidRDefault="00D94BE5" w:rsidP="002E6ADF">
            <w:pPr>
              <w:jc w:val="both"/>
              <w:rPr>
                <w:b/>
                <w:sz w:val="22"/>
              </w:rPr>
            </w:pPr>
          </w:p>
          <w:p w:rsidR="00D94BE5" w:rsidRPr="00276D9C" w:rsidRDefault="00D94BE5" w:rsidP="002E6ADF">
            <w:pPr>
              <w:jc w:val="both"/>
              <w:rPr>
                <w:b/>
              </w:rPr>
            </w:pPr>
            <w:r w:rsidRPr="00276D9C">
              <w:rPr>
                <w:b/>
              </w:rPr>
              <w:t>Wirkstoffe (nach Art und Menge):</w:t>
            </w:r>
          </w:p>
          <w:p w:rsidR="00D94BE5" w:rsidRDefault="00D94BE5" w:rsidP="002E6ADF">
            <w:pPr>
              <w:jc w:val="both"/>
            </w:pPr>
            <w:r>
              <w:t xml:space="preserve">0,78 bis 0,84 ml/ml gerinnungsaktives Humanplasma aus einer einzelnen Vollblutspende 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Pr="009C50AF" w:rsidRDefault="00D94BE5" w:rsidP="002E6ADF">
            <w:pPr>
              <w:jc w:val="both"/>
              <w:rPr>
                <w:sz w:val="22"/>
                <w:u w:val="single"/>
              </w:rPr>
            </w:pPr>
            <w:r w:rsidRPr="00276D9C">
              <w:rPr>
                <w:b/>
              </w:rPr>
              <w:t>Sonstige Bestandteile:</w:t>
            </w:r>
          </w:p>
          <w:p w:rsidR="00D94BE5" w:rsidRPr="003043DB" w:rsidRDefault="00D94BE5" w:rsidP="002E6ADF">
            <w:pPr>
              <w:jc w:val="both"/>
              <w:rPr>
                <w:iCs/>
              </w:rPr>
            </w:pPr>
            <w:r w:rsidRPr="003043DB">
              <w:rPr>
                <w:iCs/>
              </w:rPr>
              <w:t>- Stabilisatorlösung CPD (Ph. Eur.)</w:t>
            </w:r>
            <w:r>
              <w:rPr>
                <w:iCs/>
              </w:rPr>
              <w:t>: 0,16 - 0,22 ml</w:t>
            </w:r>
          </w:p>
          <w:p w:rsidR="00D94BE5" w:rsidRDefault="00D94BE5" w:rsidP="002E6ADF">
            <w:pPr>
              <w:jc w:val="both"/>
            </w:pPr>
            <w:r>
              <w:t>1 ml Stabilisator CPD enthält: Natriumzitrat 26,3 mg; Zitronensäure-Monohydrat 3,27 mg; Glukose-Monohydrat 25,5 mg oder wasserfreie Glukose 23,2 mg; Natriumdihydrogenphosphat-Dihydrat 2,51 mg; Aqua ad injektabilia ad 1 ml</w:t>
            </w:r>
          </w:p>
          <w:p w:rsidR="00D94BE5" w:rsidRDefault="00D94BE5" w:rsidP="002E6ADF">
            <w:pPr>
              <w:jc w:val="both"/>
            </w:pPr>
            <w:r>
              <w:t>- Erythrozyten: weniger als 6 x 10</w:t>
            </w:r>
            <w:r w:rsidRPr="00173503">
              <w:rPr>
                <w:vertAlign w:val="superscript"/>
              </w:rPr>
              <w:t>6</w:t>
            </w:r>
          </w:p>
          <w:p w:rsidR="00D94BE5" w:rsidRDefault="00D94BE5" w:rsidP="002E6ADF">
            <w:pPr>
              <w:jc w:val="both"/>
            </w:pPr>
            <w:r>
              <w:t>- Leukozyten: weniger als 0,1 x 10</w:t>
            </w:r>
            <w:r w:rsidRPr="00173503">
              <w:rPr>
                <w:vertAlign w:val="superscript"/>
              </w:rPr>
              <w:t>6</w:t>
            </w:r>
          </w:p>
          <w:p w:rsidR="00D94BE5" w:rsidRDefault="00D94BE5" w:rsidP="002E6ADF">
            <w:pPr>
              <w:jc w:val="both"/>
            </w:pPr>
            <w:r>
              <w:t>-Thrombozyten: weniger als 50 x 10</w:t>
            </w:r>
            <w:r w:rsidRPr="00173503">
              <w:rPr>
                <w:vertAlign w:val="superscript"/>
              </w:rPr>
              <w:t>6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d) Darreichungsform und Inhalt, Behältnis</w:t>
            </w:r>
          </w:p>
          <w:p w:rsidR="00D94BE5" w:rsidRDefault="00D94BE5" w:rsidP="002E6ADF">
            <w:pPr>
              <w:jc w:val="both"/>
            </w:pPr>
            <w:r>
              <w:t>190 bis 330 ml Infusionslösung im Kunststoffbeutel mit CE-Zertifikat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 xml:space="preserve">e) Angaben zum pharmazeutischen Unternehmer/Inhaber der Zulassung </w:t>
            </w:r>
          </w:p>
          <w:p w:rsidR="00D94BE5" w:rsidRDefault="00D94BE5" w:rsidP="002E6ADF">
            <w:pPr>
              <w:jc w:val="both"/>
            </w:pPr>
            <w:r>
              <w:t>Universitätsklinikum Hamburg-Eppendorf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t>Martinistraße 52, 20246 Hamburg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f) Angaben zum Hersteller, der das Fertigarzneimittel für das Inverkehrbringen freigegeben hat</w:t>
            </w:r>
          </w:p>
          <w:p w:rsidR="00D94BE5" w:rsidRDefault="00D94BE5" w:rsidP="002E6ADF">
            <w:pPr>
              <w:jc w:val="both"/>
            </w:pPr>
            <w:r>
              <w:t>Universitätsklinikum Hamburg-Eppendorf</w:t>
            </w:r>
          </w:p>
          <w:p w:rsidR="00D94BE5" w:rsidRDefault="00D94BE5" w:rsidP="002E6ADF">
            <w:pPr>
              <w:jc w:val="both"/>
            </w:pPr>
            <w:r>
              <w:t>Institut für Transfusionsmedizin</w:t>
            </w:r>
          </w:p>
          <w:p w:rsidR="00D94BE5" w:rsidRDefault="00D94BE5" w:rsidP="002E6ADF">
            <w:pPr>
              <w:jc w:val="both"/>
              <w:rPr>
                <w:b/>
              </w:rPr>
            </w:pPr>
            <w:r>
              <w:t>Martinistraße 52, 20246 Hamburg</w:t>
            </w:r>
          </w:p>
          <w:p w:rsidR="00D94BE5" w:rsidRDefault="00D94BE5" w:rsidP="002E6ADF">
            <w:pPr>
              <w:jc w:val="both"/>
              <w:rPr>
                <w:b/>
              </w:rPr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g) Zulassungsnummer</w:t>
            </w:r>
          </w:p>
          <w:p w:rsidR="00D94BE5" w:rsidRDefault="00D94BE5" w:rsidP="002E6ADF">
            <w:pPr>
              <w:jc w:val="both"/>
            </w:pPr>
            <w:r>
              <w:t>10572a-96-1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</w:p>
        </w:tc>
        <w:tc>
          <w:tcPr>
            <w:tcW w:w="9285" w:type="dxa"/>
          </w:tcPr>
          <w:p w:rsidR="00D94BE5" w:rsidRDefault="00D94BE5" w:rsidP="002E6ADF">
            <w:pPr>
              <w:spacing w:after="60"/>
              <w:jc w:val="both"/>
              <w:rPr>
                <w:b/>
              </w:rPr>
            </w:pPr>
            <w:r>
              <w:rPr>
                <w:b/>
              </w:rPr>
              <w:t xml:space="preserve">h) Datum der </w:t>
            </w:r>
            <w:r w:rsidR="00886068">
              <w:rPr>
                <w:b/>
              </w:rPr>
              <w:t>Verlängerung</w:t>
            </w:r>
            <w:r>
              <w:rPr>
                <w:b/>
              </w:rPr>
              <w:t xml:space="preserve"> der Zulassung </w:t>
            </w:r>
          </w:p>
          <w:p w:rsidR="00D94BE5" w:rsidRDefault="00A41D82" w:rsidP="002E6ADF">
            <w:pPr>
              <w:jc w:val="both"/>
            </w:pPr>
            <w:r>
              <w:t>22.11.2006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</w:pP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i) Arzneimittelstatus</w:t>
            </w:r>
          </w:p>
          <w:p w:rsidR="00D94BE5" w:rsidRDefault="00D94BE5" w:rsidP="002E6ADF">
            <w:pPr>
              <w:jc w:val="both"/>
            </w:pPr>
            <w:r>
              <w:t>Verschreibungspflichtig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br w:type="page"/>
            </w:r>
            <w:r>
              <w:rPr>
                <w:b/>
              </w:rPr>
              <w:t>8.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</w:pPr>
            <w:r>
              <w:rPr>
                <w:b/>
              </w:rPr>
              <w:t xml:space="preserve">Sonstige Hinweise </w:t>
            </w:r>
          </w:p>
          <w:p w:rsidR="00D94BE5" w:rsidRDefault="00D94BE5" w:rsidP="002E6ADF">
            <w:pPr>
              <w:jc w:val="both"/>
            </w:pPr>
            <w:r>
              <w:rPr>
                <w:u w:val="single"/>
              </w:rPr>
              <w:t xml:space="preserve">Maßnahmen zur Reduktion des Übertragungsrisikos von Infektionserregern: </w:t>
            </w:r>
            <w:r>
              <w:rPr>
                <w:u w:val="single"/>
              </w:rPr>
              <w:br/>
            </w:r>
            <w:r>
              <w:t>Da bei der Anwendung von aus menschlichem Blut hergestellten Arzneimitteln die Übertragung von Infektionskrankheiten nicht völlig auszuschließen ist, werden Ma</w:t>
            </w:r>
            <w:r>
              <w:t>ß</w:t>
            </w:r>
            <w:r>
              <w:t>nahmen getroffen, um das Risiko einer Übertragung von infektiösem Material zu m</w:t>
            </w:r>
            <w:r>
              <w:t>i</w:t>
            </w:r>
            <w:r>
              <w:t>nimieren: Für die Herstellung von „GFPQ CPD (UKE)“ werden ausschließlich Spe</w:t>
            </w:r>
            <w:r>
              <w:t>n</w:t>
            </w:r>
            <w:r>
              <w:t>den gesunder Spender verwendet, die mit negativem Ergebnis getestet wurden auf H</w:t>
            </w:r>
            <w:r>
              <w:t>u</w:t>
            </w:r>
            <w:r>
              <w:t xml:space="preserve">manes Immundefizienz Virus (Anti-HIV-1/2-Ak, HIV-1 Genom), Hepatitis-B Virus </w:t>
            </w:r>
            <w:r>
              <w:lastRenderedPageBreak/>
              <w:t xml:space="preserve">(HBsAg, </w:t>
            </w:r>
            <w:r w:rsidRPr="001F6F30">
              <w:t>An</w:t>
            </w:r>
            <w:r>
              <w:t>ti-HBc-Ak), Hepatitis-C Virus (Anti-HCV-Ak, HCV-Genom) und Trepon</w:t>
            </w:r>
            <w:r>
              <w:t>e</w:t>
            </w:r>
            <w:r>
              <w:t xml:space="preserve">ma pallidum (Anti-Treponema pallidum-Ak). </w:t>
            </w:r>
            <w:r w:rsidRPr="00173503">
              <w:t>Der Alanin-Aminotransferase-Wert (ALT/ALAT) darf einen festgelegten Grenzwert nicht übe</w:t>
            </w:r>
            <w:r w:rsidRPr="00173503">
              <w:t>r</w:t>
            </w:r>
            <w:r w:rsidRPr="00173503">
              <w:t>schreiten.</w:t>
            </w:r>
            <w:r>
              <w:t xml:space="preserve"> Das Plasma wird einer Quarantänelagerung von </w:t>
            </w:r>
            <w:r w:rsidRPr="00173503">
              <w:t>4</w:t>
            </w:r>
            <w:r>
              <w:t xml:space="preserve"> Monaten unterzogen. Das bedeutet, dass nach </w:t>
            </w:r>
            <w:r w:rsidRPr="00173503">
              <w:t>4</w:t>
            </w:r>
            <w:r>
              <w:t xml:space="preserve"> Monaten der Plasmaspender erneut </w:t>
            </w:r>
            <w:r w:rsidRPr="00173503">
              <w:t>mit Au</w:t>
            </w:r>
            <w:r w:rsidRPr="00173503">
              <w:t>s</w:t>
            </w:r>
            <w:r w:rsidRPr="00173503">
              <w:t>nahme auf Anti-Treponema pallidum-Ak</w:t>
            </w:r>
            <w:r>
              <w:t xml:space="preserve"> auf alle Infektionsmarker wie bei der Spende getestet wird und dass das „</w:t>
            </w:r>
            <w:r>
              <w:rPr>
                <w:lang w:val="de-CH"/>
              </w:rPr>
              <w:t>Arzneimi</w:t>
            </w:r>
            <w:r>
              <w:rPr>
                <w:lang w:val="de-CH"/>
              </w:rPr>
              <w:t>t</w:t>
            </w:r>
            <w:r>
              <w:rPr>
                <w:lang w:val="de-CH"/>
              </w:rPr>
              <w:t>tel</w:t>
            </w:r>
            <w:r>
              <w:t>-Bezeichnung“ erst nach erneut negativem Ergebnis für den Arzneimittelverkehr fre</w:t>
            </w:r>
            <w:r>
              <w:t>i</w:t>
            </w:r>
            <w:r>
              <w:t xml:space="preserve">gegeben wird.  </w:t>
            </w:r>
          </w:p>
          <w:p w:rsidR="00D94BE5" w:rsidRDefault="00D94BE5" w:rsidP="002E6ADF">
            <w:pPr>
              <w:tabs>
                <w:tab w:val="left" w:pos="6521"/>
              </w:tabs>
              <w:jc w:val="both"/>
            </w:pPr>
            <w:r>
              <w:rPr>
                <w:u w:val="single"/>
              </w:rPr>
              <w:t>Qualitätssicherung:</w:t>
            </w:r>
            <w:r>
              <w:t xml:space="preserve"> Für die Transfusion von GFP sind von den Einrichtungen der Krankenversorgung Maßnahmen im Rahmen der Qualitätssicherung nach § 15 des Transfusionsgesetzes zu ergreifen. Dazu gehören u.a. detaillierte Anweisungen s</w:t>
            </w:r>
            <w:r>
              <w:t>o</w:t>
            </w:r>
            <w:r>
              <w:t>wohl für die Indikationsstellung und Dosierung abhängig von der Grunderkrankung und dem klinischen Erscheinungsbild (z.B. bei Verlust- und/oder Verdünnungs</w:t>
            </w:r>
            <w:r>
              <w:softHyphen/>
              <w:t>koagu</w:t>
            </w:r>
            <w:r>
              <w:softHyphen/>
              <w:t>lopathie, Substitution bei Faktor V- und Faktor XI-Mangel, thrombotisch-thrombo</w:t>
            </w:r>
            <w:r>
              <w:softHyphen/>
              <w:t>zyto</w:t>
            </w:r>
            <w:r>
              <w:softHyphen/>
              <w:t>pe</w:t>
            </w:r>
            <w:r>
              <w:softHyphen/>
              <w:t>nischer Purpura, Austauschtransfusionen), Vorsorgemaßnahmen zur Erhaltung der Un</w:t>
            </w:r>
            <w:r>
              <w:softHyphen/>
              <w:t>versehrtheit der Blutzubereitung vor der Transfusion und Anweisungen zur Nach</w:t>
            </w:r>
            <w:r>
              <w:softHyphen/>
              <w:t>un</w:t>
            </w:r>
            <w:r>
              <w:softHyphen/>
              <w:t xml:space="preserve">tersuchung der Patienten für die Feststellung des Transfusionserfolges, </w:t>
            </w:r>
            <w:r>
              <w:t>e</w:t>
            </w:r>
            <w:r>
              <w:t>ventuell ge</w:t>
            </w:r>
            <w:r>
              <w:softHyphen/>
              <w:t>bildeter Antikörper und Hemmkörper gegen Gerinnungsfaktoren, für zu ergreifende Pro</w:t>
            </w:r>
            <w:r>
              <w:softHyphen/>
              <w:t>phylaxemaßnahmen etc.</w:t>
            </w:r>
          </w:p>
          <w:p w:rsidR="00D94BE5" w:rsidRDefault="00D94BE5" w:rsidP="002E6ADF">
            <w:pPr>
              <w:tabs>
                <w:tab w:val="left" w:pos="6521"/>
              </w:tabs>
              <w:jc w:val="both"/>
            </w:pPr>
          </w:p>
          <w:p w:rsidR="00D94BE5" w:rsidRDefault="00D94BE5" w:rsidP="002E6ADF">
            <w:pPr>
              <w:numPr>
                <w:ilvl w:val="12"/>
                <w:numId w:val="0"/>
              </w:numPr>
              <w:jc w:val="both"/>
              <w:rPr>
                <w:u w:val="single"/>
              </w:rPr>
            </w:pPr>
            <w:r>
              <w:rPr>
                <w:u w:val="single"/>
              </w:rPr>
              <w:t>Besondere Vorsichtsmaßnahmen für die Bese</w:t>
            </w:r>
            <w:r>
              <w:rPr>
                <w:u w:val="single"/>
              </w:rPr>
              <w:t>i</w:t>
            </w:r>
            <w:r>
              <w:rPr>
                <w:u w:val="single"/>
              </w:rPr>
              <w:t>tigung:</w:t>
            </w:r>
          </w:p>
          <w:p w:rsidR="00D94BE5" w:rsidRPr="00276D9C" w:rsidRDefault="00D94BE5" w:rsidP="002E6ADF">
            <w:pPr>
              <w:pStyle w:val="Textkrper"/>
              <w:rPr>
                <w:rFonts w:cs="Times New Roman"/>
                <w:sz w:val="20"/>
                <w:szCs w:val="20"/>
              </w:rPr>
            </w:pPr>
            <w:r w:rsidRPr="00276D9C">
              <w:rPr>
                <w:rFonts w:cs="Times New Roman"/>
                <w:sz w:val="20"/>
                <w:szCs w:val="20"/>
              </w:rPr>
              <w:t>Die ordnungsgemäße Entsorgung von angebrochenen bzw. nicht mehr verwendb</w:t>
            </w:r>
            <w:r w:rsidRPr="00276D9C">
              <w:rPr>
                <w:rFonts w:cs="Times New Roman"/>
                <w:sz w:val="20"/>
                <w:szCs w:val="20"/>
              </w:rPr>
              <w:t>a</w:t>
            </w:r>
            <w:r w:rsidRPr="00276D9C">
              <w:rPr>
                <w:rFonts w:cs="Times New Roman"/>
                <w:sz w:val="20"/>
                <w:szCs w:val="20"/>
              </w:rPr>
              <w:t>ren Präparaten ist entsprechend den Vorgaben der Einrichtung der Krankenversorgung s</w:t>
            </w:r>
            <w:r w:rsidRPr="00276D9C">
              <w:rPr>
                <w:rFonts w:cs="Times New Roman"/>
                <w:sz w:val="20"/>
                <w:szCs w:val="20"/>
              </w:rPr>
              <w:t>i</w:t>
            </w:r>
            <w:r w:rsidRPr="00276D9C">
              <w:rPr>
                <w:rFonts w:cs="Times New Roman"/>
                <w:sz w:val="20"/>
                <w:szCs w:val="20"/>
              </w:rPr>
              <w:t>cherzustellen.</w:t>
            </w:r>
          </w:p>
          <w:p w:rsidR="00D94BE5" w:rsidRDefault="00D94BE5" w:rsidP="002E6ADF">
            <w:pPr>
              <w:pStyle w:val="Textkrper"/>
            </w:pPr>
          </w:p>
          <w:p w:rsidR="00D94BE5" w:rsidRDefault="00D94BE5" w:rsidP="002E6ADF">
            <w:pPr>
              <w:jc w:val="both"/>
            </w:pPr>
            <w:r>
              <w:t>Die jeweils aktuellen “</w:t>
            </w:r>
            <w:r>
              <w:rPr>
                <w:lang w:val="de-CH"/>
              </w:rPr>
              <w:t>Richtlinien zur Gewinnung von Blut und Blutbestandteilen und zur Anwendung von Blutprodukten (Hämotherapie)</w:t>
            </w:r>
            <w:r>
              <w:t>“ sowie gegebenenfalls ergänze</w:t>
            </w:r>
            <w:r>
              <w:t>n</w:t>
            </w:r>
            <w:r>
              <w:t>de Ve</w:t>
            </w:r>
            <w:r>
              <w:t>r</w:t>
            </w:r>
            <w:r>
              <w:t>öffentlichungen der Bundesärztekammer und des Paul-Ehrlich-Instituts sind zu berüc</w:t>
            </w:r>
            <w:r>
              <w:t>k</w:t>
            </w:r>
            <w:r>
              <w:t>sichtigen.</w:t>
            </w:r>
          </w:p>
          <w:p w:rsidR="00D94BE5" w:rsidRDefault="00D94BE5" w:rsidP="002E6ADF">
            <w:pPr>
              <w:jc w:val="both"/>
            </w:pPr>
          </w:p>
        </w:tc>
      </w:tr>
      <w:tr w:rsidR="00D94BE5" w:rsidTr="002E6AD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94BE5" w:rsidRPr="00761A22" w:rsidRDefault="00D94BE5" w:rsidP="002E6ADF">
            <w:pPr>
              <w:jc w:val="both"/>
              <w:rPr>
                <w:b/>
              </w:rPr>
            </w:pPr>
            <w:r w:rsidRPr="00761A22">
              <w:rPr>
                <w:b/>
              </w:rPr>
              <w:lastRenderedPageBreak/>
              <w:t>9.</w:t>
            </w:r>
          </w:p>
        </w:tc>
        <w:tc>
          <w:tcPr>
            <w:tcW w:w="9285" w:type="dxa"/>
          </w:tcPr>
          <w:p w:rsidR="00D94BE5" w:rsidRDefault="00D94BE5" w:rsidP="002E6ADF">
            <w:pPr>
              <w:jc w:val="both"/>
              <w:rPr>
                <w:b/>
              </w:rPr>
            </w:pPr>
            <w:r>
              <w:rPr>
                <w:b/>
              </w:rPr>
              <w:t>Datum der letzten Überarbeitung</w:t>
            </w:r>
          </w:p>
          <w:p w:rsidR="00D94BE5" w:rsidRDefault="00A41D82" w:rsidP="002E6A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07.03.2018</w:t>
            </w:r>
          </w:p>
        </w:tc>
      </w:tr>
    </w:tbl>
    <w:p w:rsidR="00D94BE5" w:rsidRDefault="00D94BE5" w:rsidP="00D94BE5">
      <w:pPr>
        <w:pStyle w:val="StandardBlocksatz"/>
      </w:pPr>
    </w:p>
    <w:p w:rsidR="00D94BE5" w:rsidRDefault="00D94BE5">
      <w:pPr>
        <w:pStyle w:val="StandardBlocksatz"/>
      </w:pPr>
    </w:p>
    <w:sectPr w:rsidR="00D94BE5">
      <w:headerReference w:type="default" r:id="rId7"/>
      <w:headerReference w:type="first" r:id="rId8"/>
      <w:footerReference w:type="first" r:id="rId9"/>
      <w:pgSz w:w="11906" w:h="16838"/>
      <w:pgMar w:top="851" w:right="851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70E" w:rsidRDefault="000A070E">
      <w:r>
        <w:separator/>
      </w:r>
    </w:p>
  </w:endnote>
  <w:endnote w:type="continuationSeparator" w:id="0">
    <w:p w:rsidR="000A070E" w:rsidRDefault="000A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67B" w:rsidRDefault="0060067B">
    <w:pPr>
      <w:pBdr>
        <w:top w:val="single" w:sz="4" w:space="2" w:color="auto"/>
      </w:pBdr>
      <w:jc w:val="center"/>
      <w:rPr>
        <w:sz w:val="16"/>
      </w:rPr>
    </w:pPr>
    <w:r>
      <w:rPr>
        <w:sz w:val="16"/>
      </w:rPr>
      <w:t>Betriebsinternes QM-Dokument, außerbetriebliche Weitergabe ist untersagt. Nur gültig mit Unterschriften!</w:t>
    </w:r>
  </w:p>
  <w:p w:rsidR="0060067B" w:rsidRPr="00D25391" w:rsidRDefault="00D25391" w:rsidP="00D25391">
    <w:pPr>
      <w:pStyle w:val="StandardBlocksatz"/>
      <w:jc w:val="center"/>
      <w:rPr>
        <w:sz w:val="16"/>
        <w:szCs w:val="16"/>
      </w:rPr>
    </w:pPr>
    <w:r>
      <w:rPr>
        <w:sz w:val="16"/>
        <w:szCs w:val="16"/>
      </w:rPr>
      <w:t xml:space="preserve">Vorlage basiert auf SOP </w:t>
    </w:r>
    <w:r w:rsidRPr="005A39B1">
      <w:rPr>
        <w:sz w:val="16"/>
        <w:szCs w:val="16"/>
      </w:rPr>
      <w:t>4.01.01 Anlage 0</w:t>
    </w:r>
    <w:r>
      <w:rPr>
        <w:sz w:val="16"/>
        <w:szCs w:val="16"/>
      </w:rPr>
      <w:t>2</w:t>
    </w:r>
    <w:r w:rsidR="0060067B">
      <w:rPr>
        <w:sz w:val="16"/>
      </w:rPr>
      <w:t>.</w:t>
    </w:r>
  </w:p>
  <w:p w:rsidR="0060067B" w:rsidRDefault="0060067B">
    <w:pPr>
      <w:jc w:val="center"/>
      <w:rPr>
        <w:sz w:val="12"/>
      </w:rPr>
    </w:pPr>
  </w:p>
  <w:p w:rsidR="0060067B" w:rsidRDefault="0060067B">
    <w:r>
      <w:rPr>
        <w:sz w:val="12"/>
      </w:rPr>
      <w:fldChar w:fldCharType="begin"/>
    </w:r>
    <w:r>
      <w:rPr>
        <w:sz w:val="12"/>
      </w:rPr>
      <w:instrText xml:space="preserve"> FILENAME  \* MERGEFORMAT </w:instrText>
    </w:r>
    <w:r>
      <w:rPr>
        <w:sz w:val="12"/>
      </w:rPr>
      <w:fldChar w:fldCharType="separate"/>
    </w:r>
    <w:r w:rsidR="0090501C">
      <w:rPr>
        <w:noProof/>
        <w:sz w:val="12"/>
      </w:rPr>
      <w:t>9-58.512.1-0 [004] GFPQ CPD (UKE)</w:t>
    </w:r>
    <w:r>
      <w:rPr>
        <w:sz w:val="12"/>
      </w:rPr>
      <w:fldChar w:fldCharType="end"/>
    </w:r>
  </w:p>
  <w:p w:rsidR="0060067B" w:rsidRDefault="0060067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70E" w:rsidRDefault="000A070E">
      <w:r>
        <w:separator/>
      </w:r>
    </w:p>
  </w:footnote>
  <w:footnote w:type="continuationSeparator" w:id="0">
    <w:p w:rsidR="000A070E" w:rsidRDefault="000A0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67B" w:rsidRDefault="0060067B">
    <w:pPr>
      <w:pStyle w:val="StandardBlocksatz"/>
      <w:rPr>
        <w:sz w:val="16"/>
      </w:rPr>
    </w:pPr>
    <w:r>
      <w:rPr>
        <w:b/>
        <w:sz w:val="16"/>
      </w:rPr>
      <w:t>UKE - Institut für Transfusionsmedizin</w:t>
    </w:r>
    <w:r>
      <w:rPr>
        <w:sz w:val="16"/>
      </w:rPr>
      <w:t xml:space="preserve"> Dok. / [Vers.]: </w:t>
    </w:r>
    <w:r>
      <w:rPr>
        <w:b/>
        <w:sz w:val="16"/>
      </w:rPr>
      <w:fldChar w:fldCharType="begin"/>
    </w:r>
    <w:r>
      <w:rPr>
        <w:b/>
        <w:sz w:val="16"/>
      </w:rPr>
      <w:instrText xml:space="preserve"> DOCPROPERTY "Dokument"  \* MERGEFORMAT </w:instrText>
    </w:r>
    <w:r>
      <w:rPr>
        <w:b/>
        <w:sz w:val="16"/>
      </w:rPr>
      <w:fldChar w:fldCharType="separate"/>
    </w:r>
    <w:r w:rsidR="0090501C">
      <w:rPr>
        <w:b/>
        <w:sz w:val="16"/>
      </w:rPr>
      <w:t>9-58.512.1-0</w:t>
    </w:r>
    <w:r>
      <w:rPr>
        <w:b/>
        <w:sz w:val="16"/>
      </w:rPr>
      <w:fldChar w:fldCharType="end"/>
    </w:r>
    <w:r>
      <w:rPr>
        <w:b/>
        <w:sz w:val="16"/>
      </w:rPr>
      <w:t xml:space="preserve"> / </w:t>
    </w:r>
    <w:r>
      <w:rPr>
        <w:b/>
        <w:sz w:val="16"/>
      </w:rPr>
      <w:fldChar w:fldCharType="begin"/>
    </w:r>
    <w:r>
      <w:rPr>
        <w:b/>
        <w:sz w:val="16"/>
      </w:rPr>
      <w:instrText xml:space="preserve"> DOCPROPERTY "Version"  \* MERGEFORMAT </w:instrText>
    </w:r>
    <w:r>
      <w:rPr>
        <w:b/>
        <w:sz w:val="16"/>
      </w:rPr>
      <w:fldChar w:fldCharType="separate"/>
    </w:r>
    <w:r w:rsidR="0090501C">
      <w:rPr>
        <w:b/>
        <w:sz w:val="16"/>
      </w:rPr>
      <w:t>[004]</w:t>
    </w:r>
    <w:r>
      <w:rPr>
        <w:b/>
        <w:sz w:val="16"/>
      </w:rPr>
      <w:fldChar w:fldCharType="end"/>
    </w:r>
    <w:r>
      <w:rPr>
        <w:sz w:val="16"/>
      </w:rPr>
      <w:t xml:space="preserve">   gültig ab </w:t>
    </w:r>
    <w:r>
      <w:rPr>
        <w:b/>
        <w:sz w:val="16"/>
      </w:rPr>
      <w:fldChar w:fldCharType="begin"/>
    </w:r>
    <w:r>
      <w:rPr>
        <w:b/>
        <w:sz w:val="16"/>
      </w:rPr>
      <w:instrText xml:space="preserve"> DOCPROPERTY "gültig ab"  \* MERGEFORMAT </w:instrText>
    </w:r>
    <w:r>
      <w:rPr>
        <w:b/>
        <w:sz w:val="16"/>
      </w:rPr>
      <w:fldChar w:fldCharType="separate"/>
    </w:r>
    <w:r w:rsidR="0090501C">
      <w:rPr>
        <w:b/>
        <w:sz w:val="16"/>
      </w:rPr>
      <w:t>15.03.2018</w:t>
    </w:r>
    <w:r>
      <w:rPr>
        <w:b/>
        <w:sz w:val="16"/>
      </w:rPr>
      <w:fldChar w:fldCharType="end"/>
    </w:r>
    <w:r>
      <w:rPr>
        <w:sz w:val="16"/>
      </w:rPr>
      <w:t xml:space="preserve"> Seite  </w:t>
    </w:r>
    <w:r>
      <w:rPr>
        <w:rStyle w:val="Seitenzahl"/>
        <w:b/>
        <w:sz w:val="16"/>
      </w:rPr>
      <w:fldChar w:fldCharType="begin"/>
    </w:r>
    <w:r>
      <w:rPr>
        <w:rStyle w:val="Seitenzahl"/>
        <w:b/>
        <w:sz w:val="16"/>
      </w:rPr>
      <w:instrText xml:space="preserve"> PAGE </w:instrText>
    </w:r>
    <w:r>
      <w:rPr>
        <w:rStyle w:val="Seitenzahl"/>
        <w:b/>
        <w:sz w:val="16"/>
      </w:rPr>
      <w:fldChar w:fldCharType="separate"/>
    </w:r>
    <w:r w:rsidR="00817E95">
      <w:rPr>
        <w:rStyle w:val="Seitenzahl"/>
        <w:b/>
        <w:noProof/>
        <w:sz w:val="16"/>
      </w:rPr>
      <w:t>1</w:t>
    </w:r>
    <w:r>
      <w:rPr>
        <w:rStyle w:val="Seitenzahl"/>
        <w:b/>
        <w:sz w:val="16"/>
      </w:rPr>
      <w:fldChar w:fldCharType="end"/>
    </w:r>
    <w:r>
      <w:rPr>
        <w:rStyle w:val="Seitenzahl"/>
        <w:b/>
        <w:sz w:val="16"/>
      </w:rPr>
      <w:t>/</w:t>
    </w:r>
    <w:r>
      <w:rPr>
        <w:rStyle w:val="Seitenzahl"/>
        <w:b/>
        <w:sz w:val="16"/>
      </w:rPr>
      <w:fldChar w:fldCharType="begin"/>
    </w:r>
    <w:r>
      <w:rPr>
        <w:rStyle w:val="Seitenzahl"/>
        <w:b/>
        <w:sz w:val="16"/>
      </w:rPr>
      <w:instrText xml:space="preserve"> = Seitenanzahlgesamt-1</w:instrText>
    </w:r>
    <w:r>
      <w:rPr>
        <w:rStyle w:val="Seitenzahl"/>
        <w:b/>
        <w:sz w:val="16"/>
      </w:rPr>
      <w:fldChar w:fldCharType="separate"/>
    </w:r>
    <w:r w:rsidR="00817E95">
      <w:rPr>
        <w:rStyle w:val="Seitenzahl"/>
        <w:b/>
        <w:noProof/>
        <w:sz w:val="16"/>
      </w:rPr>
      <w:t>4</w:t>
    </w:r>
    <w:r>
      <w:rPr>
        <w:rStyle w:val="Seitenzahl"/>
        <w:b/>
        <w:sz w:val="16"/>
      </w:rPr>
      <w:fldChar w:fldCharType="end"/>
    </w:r>
    <w:r>
      <w:rPr>
        <w:rStyle w:val="Seitenzahl"/>
        <w:b/>
        <w:sz w:val="16"/>
      </w:rPr>
      <w:t xml:space="preserve"> </w:t>
    </w:r>
  </w:p>
  <w:p w:rsidR="0060067B" w:rsidRDefault="0060067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67B" w:rsidRDefault="00817E95">
    <w:pPr>
      <w:rPr>
        <w:sz w:val="12"/>
      </w:rPr>
    </w:pPr>
    <w:r>
      <w:rPr>
        <w:noProof/>
        <w:sz w:val="12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4147820</wp:posOffset>
              </wp:positionH>
              <wp:positionV relativeFrom="paragraph">
                <wp:posOffset>90170</wp:posOffset>
              </wp:positionV>
              <wp:extent cx="2174240" cy="4248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424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067B" w:rsidRDefault="0060067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Institut für Transfusionsmedizin</w:t>
                          </w:r>
                        </w:p>
                        <w:p w:rsidR="0060067B" w:rsidRDefault="0060067B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Martinistraße 52, D-20246 Hamburg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6.6pt;margin-top:7.1pt;width:171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" o:allowincell="f" stroked="f">
              <v:textbox>
                <w:txbxContent>
                  <w:p w:rsidR="0060067B" w:rsidRDefault="0060067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Institut für Transfusionsmedizin</w:t>
                    </w:r>
                  </w:p>
                  <w:p w:rsidR="0060067B" w:rsidRDefault="0060067B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Martinistraße 52, D-20246 Hamburg</w:t>
                    </w:r>
                  </w:p>
                </w:txbxContent>
              </v:textbox>
            </v:shape>
          </w:pict>
        </mc:Fallback>
      </mc:AlternateContent>
    </w:r>
    <w:r w:rsidRPr="00E30E4A">
      <w:rPr>
        <w:noProof/>
      </w:rPr>
      <w:drawing>
        <wp:inline distT="0" distB="0" distL="0" distR="0">
          <wp:extent cx="714375" cy="762000"/>
          <wp:effectExtent l="0" t="0" r="9525" b="0"/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067B" w:rsidRDefault="0060067B">
    <w:pPr>
      <w:rPr>
        <w:sz w:val="12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28"/>
      <w:gridCol w:w="3328"/>
      <w:gridCol w:w="3328"/>
    </w:tblGrid>
    <w:tr w:rsidR="0060067B">
      <w:tblPrEx>
        <w:tblCellMar>
          <w:top w:w="0" w:type="dxa"/>
          <w:bottom w:w="0" w:type="dxa"/>
        </w:tblCellMar>
      </w:tblPrEx>
      <w:trPr>
        <w:cantSplit/>
      </w:trPr>
      <w:tc>
        <w:tcPr>
          <w:tcW w:w="3328" w:type="dxa"/>
        </w:tcPr>
        <w:p w:rsidR="0060067B" w:rsidRDefault="0060067B">
          <w:pPr>
            <w:spacing w:before="120" w:after="120"/>
            <w:ind w:left="142"/>
          </w:pPr>
          <w:r>
            <w:t xml:space="preserve">Dok [Vers.]: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"Dokument"  \* MERGEFORMAT </w:instrText>
          </w:r>
          <w:r>
            <w:rPr>
              <w:b/>
            </w:rPr>
            <w:fldChar w:fldCharType="separate"/>
          </w:r>
          <w:r w:rsidR="0090501C">
            <w:rPr>
              <w:b/>
            </w:rPr>
            <w:t>9-58.512.1-0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"Version"  \* MERGEFORMAT </w:instrText>
          </w:r>
          <w:r>
            <w:rPr>
              <w:b/>
            </w:rPr>
            <w:fldChar w:fldCharType="separate"/>
          </w:r>
          <w:r w:rsidR="0090501C">
            <w:rPr>
              <w:b/>
            </w:rPr>
            <w:t>[004]</w:t>
          </w:r>
          <w:r>
            <w:rPr>
              <w:b/>
            </w:rPr>
            <w:fldChar w:fldCharType="end"/>
          </w:r>
        </w:p>
      </w:tc>
      <w:tc>
        <w:tcPr>
          <w:tcW w:w="3328" w:type="dxa"/>
        </w:tcPr>
        <w:p w:rsidR="0060067B" w:rsidRDefault="0060067B">
          <w:pPr>
            <w:spacing w:before="120" w:after="120"/>
            <w:ind w:left="142"/>
            <w:jc w:val="center"/>
          </w:pPr>
          <w:r>
            <w:t xml:space="preserve">Gültig ab: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"gültig ab"  \* MERGEFORMAT </w:instrText>
          </w:r>
          <w:r>
            <w:rPr>
              <w:b/>
            </w:rPr>
            <w:fldChar w:fldCharType="separate"/>
          </w:r>
          <w:r w:rsidR="0090501C">
            <w:rPr>
              <w:b/>
            </w:rPr>
            <w:t>15.03.2018</w:t>
          </w:r>
          <w:r>
            <w:rPr>
              <w:b/>
            </w:rPr>
            <w:fldChar w:fldCharType="end"/>
          </w:r>
        </w:p>
      </w:tc>
      <w:tc>
        <w:tcPr>
          <w:tcW w:w="3328" w:type="dxa"/>
        </w:tcPr>
        <w:p w:rsidR="0060067B" w:rsidRDefault="0060067B">
          <w:pPr>
            <w:spacing w:before="60"/>
            <w:ind w:left="142" w:right="62"/>
            <w:jc w:val="right"/>
            <w:rPr>
              <w:b/>
              <w:snapToGrid w:val="0"/>
            </w:rPr>
          </w:pPr>
          <w:r>
            <w:rPr>
              <w:snapToGrid w:val="0"/>
            </w:rPr>
            <w:t xml:space="preserve">Seite: </w:t>
          </w:r>
          <w:r>
            <w:rPr>
              <w:b/>
              <w:snapToGrid w:val="0"/>
            </w:rPr>
            <w:t>Vorblatt</w:t>
          </w:r>
        </w:p>
        <w:bookmarkStart w:id="1" w:name="Seitenanzahlgesamt"/>
        <w:p w:rsidR="0060067B" w:rsidRDefault="0060067B">
          <w:pPr>
            <w:pStyle w:val="StandardBlocksatz"/>
            <w:spacing w:before="120" w:after="120"/>
            <w:ind w:right="62"/>
            <w:jc w:val="right"/>
          </w:pPr>
          <w:r>
            <w:rPr>
              <w:color w:val="FFFFFF"/>
            </w:rPr>
            <w:fldChar w:fldCharType="begin"/>
          </w:r>
          <w:r>
            <w:rPr>
              <w:color w:val="FFFFFF"/>
            </w:rPr>
            <w:instrText xml:space="preserve"> NUMPAGES  \* MERGEFORMAT </w:instrText>
          </w:r>
          <w:r>
            <w:rPr>
              <w:color w:val="FFFFFF"/>
            </w:rPr>
            <w:fldChar w:fldCharType="separate"/>
          </w:r>
          <w:r w:rsidR="00817E95">
            <w:rPr>
              <w:noProof/>
              <w:color w:val="FFFFFF"/>
            </w:rPr>
            <w:t>5</w:t>
          </w:r>
          <w:r>
            <w:rPr>
              <w:color w:val="FFFFFF"/>
            </w:rPr>
            <w:fldChar w:fldCharType="end"/>
          </w:r>
          <w:bookmarkEnd w:id="1"/>
          <w:r>
            <w:t xml:space="preserve">Formularseiten: </w:t>
          </w: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= Seitenanzahlgesamt-1</w:instrText>
          </w:r>
          <w:r>
            <w:rPr>
              <w:rStyle w:val="Seitenzahl"/>
              <w:b/>
            </w:rPr>
            <w:fldChar w:fldCharType="separate"/>
          </w:r>
          <w:r w:rsidR="00817E95">
            <w:rPr>
              <w:rStyle w:val="Seitenzahl"/>
              <w:b/>
              <w:noProof/>
            </w:rPr>
            <w:t>4</w:t>
          </w:r>
          <w:r>
            <w:rPr>
              <w:rStyle w:val="Seitenzahl"/>
              <w:b/>
            </w:rPr>
            <w:fldChar w:fldCharType="end"/>
          </w:r>
        </w:p>
      </w:tc>
    </w:tr>
  </w:tbl>
  <w:p w:rsidR="0060067B" w:rsidRDefault="0060067B">
    <w:pPr>
      <w:rPr>
        <w:sz w:val="12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97"/>
      <w:gridCol w:w="2498"/>
      <w:gridCol w:w="2497"/>
      <w:gridCol w:w="2499"/>
    </w:tblGrid>
    <w:tr w:rsidR="0060067B">
      <w:tblPrEx>
        <w:tblCellMar>
          <w:top w:w="0" w:type="dxa"/>
          <w:bottom w:w="0" w:type="dxa"/>
        </w:tblCellMar>
      </w:tblPrEx>
      <w:trPr>
        <w:trHeight w:hRule="exact" w:val="1040"/>
      </w:trPr>
      <w:tc>
        <w:tcPr>
          <w:tcW w:w="2497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Verfasst: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after="20"/>
            <w:rPr>
              <w:sz w:val="16"/>
            </w:rPr>
          </w:pPr>
          <w:r>
            <w:rPr>
              <w:sz w:val="16"/>
            </w:rPr>
            <w:t>(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"Verfasser"  \* MERGEFORMAT </w:instrText>
          </w:r>
          <w:r>
            <w:rPr>
              <w:sz w:val="16"/>
            </w:rPr>
            <w:fldChar w:fldCharType="separate"/>
          </w:r>
          <w:r w:rsidR="0090501C">
            <w:rPr>
              <w:sz w:val="16"/>
            </w:rPr>
            <w:t>Dr. Bentzien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)</w:t>
          </w:r>
        </w:p>
      </w:tc>
      <w:tc>
        <w:tcPr>
          <w:tcW w:w="2498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Genehmigt: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  <w:r>
            <w:rPr>
              <w:sz w:val="16"/>
            </w:rPr>
            <w:t>Datum:</w:t>
          </w:r>
        </w:p>
        <w:p w:rsidR="0060067B" w:rsidRDefault="0060067B">
          <w:pPr>
            <w:tabs>
              <w:tab w:val="right" w:pos="4734"/>
            </w:tabs>
            <w:spacing w:after="20"/>
            <w:rPr>
              <w:sz w:val="16"/>
            </w:rPr>
          </w:pPr>
          <w:r>
            <w:rPr>
              <w:sz w:val="16"/>
            </w:rPr>
            <w:t>(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"Genehmigt"  \* MERGEFORMAT </w:instrText>
          </w:r>
          <w:r>
            <w:rPr>
              <w:sz w:val="16"/>
            </w:rPr>
            <w:fldChar w:fldCharType="separate"/>
          </w:r>
          <w:r w:rsidR="0090501C">
            <w:rPr>
              <w:sz w:val="16"/>
            </w:rPr>
            <w:t>Dr. Hiller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)</w:t>
          </w:r>
        </w:p>
      </w:tc>
      <w:tc>
        <w:tcPr>
          <w:tcW w:w="2497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Freigegeben: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  <w:r>
            <w:rPr>
              <w:sz w:val="16"/>
            </w:rPr>
            <w:t>Datum:</w:t>
          </w:r>
        </w:p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(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"QM-Beauftragter"  \* MERGEFORMAT </w:instrText>
          </w:r>
          <w:r>
            <w:rPr>
              <w:sz w:val="16"/>
            </w:rPr>
            <w:fldChar w:fldCharType="separate"/>
          </w:r>
          <w:r w:rsidR="0090501C">
            <w:rPr>
              <w:sz w:val="16"/>
            </w:rPr>
            <w:t>Dr. Denzer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)</w:t>
          </w:r>
        </w:p>
      </w:tc>
      <w:tc>
        <w:tcPr>
          <w:tcW w:w="2498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In Kraft gesetzt: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  <w:r>
            <w:rPr>
              <w:sz w:val="16"/>
            </w:rPr>
            <w:t>Datum:</w:t>
          </w:r>
        </w:p>
        <w:p w:rsidR="0060067B" w:rsidRDefault="0060067B">
          <w:pPr>
            <w:tabs>
              <w:tab w:val="right" w:pos="4751"/>
            </w:tabs>
            <w:spacing w:after="20"/>
            <w:rPr>
              <w:sz w:val="12"/>
            </w:rPr>
          </w:pPr>
          <w:r>
            <w:rPr>
              <w:sz w:val="16"/>
            </w:rPr>
            <w:t>(</w:t>
          </w:r>
          <w:r w:rsidR="00EF5A8B">
            <w:rPr>
              <w:sz w:val="16"/>
            </w:rPr>
            <w:t>Dr. Peine, Inst.-Leite</w:t>
          </w:r>
          <w:r>
            <w:rPr>
              <w:sz w:val="16"/>
            </w:rPr>
            <w:t>r)</w:t>
          </w:r>
          <w:r>
            <w:rPr>
              <w:sz w:val="16"/>
            </w:rPr>
            <w:tab/>
            <w:t>(Prof. Kühnl, Inst.-Direktor)</w:t>
          </w:r>
        </w:p>
      </w:tc>
    </w:tr>
    <w:tr w:rsidR="0060067B">
      <w:tblPrEx>
        <w:tblCellMar>
          <w:top w:w="0" w:type="dxa"/>
          <w:bottom w:w="0" w:type="dxa"/>
        </w:tblCellMar>
      </w:tblPrEx>
      <w:trPr>
        <w:cantSplit/>
      </w:trPr>
      <w:tc>
        <w:tcPr>
          <w:tcW w:w="9991" w:type="dxa"/>
          <w:gridSpan w:val="4"/>
          <w:tcBorders>
            <w:left w:val="nil"/>
            <w:right w:val="nil"/>
          </w:tcBorders>
        </w:tcPr>
        <w:p w:rsidR="0060067B" w:rsidRDefault="0060067B">
          <w:pPr>
            <w:pStyle w:val="Titel"/>
          </w:pPr>
          <w:fldSimple w:instr=" DOCPROPERTY &quot;Title&quot;  \* MERGEFORMAT ">
            <w:r w:rsidR="0090501C">
              <w:t>VVD - Gebrauchs- und Fachinformation GFPQ CPD (UKE)</w:t>
            </w:r>
          </w:fldSimple>
        </w:p>
      </w:tc>
    </w:tr>
  </w:tbl>
  <w:p w:rsidR="0060067B" w:rsidRDefault="0060067B">
    <w:pPr>
      <w:rPr>
        <w:sz w:val="12"/>
      </w:rPr>
    </w:pPr>
  </w:p>
  <w:p w:rsidR="0060067B" w:rsidRDefault="0060067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700"/>
    <w:rsid w:val="00003AF7"/>
    <w:rsid w:val="0001708F"/>
    <w:rsid w:val="000A070E"/>
    <w:rsid w:val="00222475"/>
    <w:rsid w:val="002E6ADF"/>
    <w:rsid w:val="003123E4"/>
    <w:rsid w:val="00373700"/>
    <w:rsid w:val="00380D76"/>
    <w:rsid w:val="00383872"/>
    <w:rsid w:val="003D0462"/>
    <w:rsid w:val="00530BE8"/>
    <w:rsid w:val="0060067B"/>
    <w:rsid w:val="006A7628"/>
    <w:rsid w:val="007058BC"/>
    <w:rsid w:val="00786814"/>
    <w:rsid w:val="00817E95"/>
    <w:rsid w:val="008354C6"/>
    <w:rsid w:val="00886068"/>
    <w:rsid w:val="008A5391"/>
    <w:rsid w:val="0090501C"/>
    <w:rsid w:val="00916CBF"/>
    <w:rsid w:val="00A41D82"/>
    <w:rsid w:val="00A44E02"/>
    <w:rsid w:val="00A858CF"/>
    <w:rsid w:val="00C729CC"/>
    <w:rsid w:val="00D25391"/>
    <w:rsid w:val="00D868F6"/>
    <w:rsid w:val="00D94BE5"/>
    <w:rsid w:val="00D9697C"/>
    <w:rsid w:val="00E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StandardBlocksatz"/>
    <w:qFormat/>
    <w:rPr>
      <w:rFonts w:ascii="Arial" w:hAnsi="Arial"/>
    </w:rPr>
  </w:style>
  <w:style w:type="paragraph" w:styleId="berschrift1">
    <w:name w:val="heading 1"/>
    <w:basedOn w:val="StandardBlocksatz"/>
    <w:next w:val="StandardBlocksatz"/>
    <w:qFormat/>
    <w:pPr>
      <w:keepNext/>
      <w:spacing w:before="240" w:after="120"/>
      <w:outlineLvl w:val="0"/>
    </w:pPr>
    <w:rPr>
      <w:b/>
      <w:caps/>
      <w:kern w:val="28"/>
      <w:sz w:val="22"/>
    </w:rPr>
  </w:style>
  <w:style w:type="paragraph" w:styleId="berschrift2">
    <w:name w:val="heading 2"/>
    <w:basedOn w:val="StandardBlocksatz"/>
    <w:next w:val="StandardBlocksatz"/>
    <w:qFormat/>
    <w:pPr>
      <w:keepNext/>
      <w:spacing w:before="240" w:after="120"/>
      <w:outlineLvl w:val="1"/>
    </w:pPr>
    <w:rPr>
      <w:b/>
      <w:sz w:val="22"/>
    </w:rPr>
  </w:style>
  <w:style w:type="paragraph" w:styleId="berschrift3">
    <w:name w:val="heading 3"/>
    <w:basedOn w:val="StandardBlocksatz"/>
    <w:next w:val="StandardBlocksatz"/>
    <w:qFormat/>
    <w:pPr>
      <w:keepNext/>
      <w:spacing w:before="120" w:after="60"/>
      <w:outlineLvl w:val="2"/>
    </w:pPr>
    <w:rPr>
      <w:b/>
    </w:rPr>
  </w:style>
  <w:style w:type="paragraph" w:styleId="berschrift4">
    <w:name w:val="heading 4"/>
    <w:basedOn w:val="StandardBlocksatz"/>
    <w:next w:val="StandardBlocksatz"/>
    <w:qFormat/>
    <w:pPr>
      <w:keepNext/>
      <w:spacing w:before="120" w:after="60"/>
      <w:outlineLvl w:val="3"/>
    </w:pPr>
    <w:rPr>
      <w:i/>
    </w:rPr>
  </w:style>
  <w:style w:type="paragraph" w:styleId="berschrift5">
    <w:name w:val="heading 5"/>
    <w:basedOn w:val="StandardBlocksatz"/>
    <w:next w:val="StandardBlocksatz"/>
    <w:qFormat/>
    <w:pPr>
      <w:spacing w:before="120" w:after="60"/>
      <w:outlineLvl w:val="4"/>
    </w:p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Blocksatz"/>
    <w:pPr>
      <w:tabs>
        <w:tab w:val="center" w:pos="4536"/>
        <w:tab w:val="right" w:pos="9072"/>
      </w:tabs>
    </w:pPr>
  </w:style>
  <w:style w:type="paragraph" w:styleId="Fuzeile">
    <w:name w:val="footer"/>
    <w:basedOn w:val="StandardBlocksatz"/>
    <w:pPr>
      <w:tabs>
        <w:tab w:val="center" w:pos="4536"/>
        <w:tab w:val="right" w:pos="9072"/>
      </w:tabs>
    </w:pPr>
  </w:style>
  <w:style w:type="paragraph" w:styleId="Titel">
    <w:name w:val="Title"/>
    <w:basedOn w:val="StandardBlocksatz"/>
    <w:qFormat/>
    <w:pPr>
      <w:spacing w:before="120" w:after="120"/>
      <w:jc w:val="center"/>
      <w:outlineLvl w:val="0"/>
    </w:pPr>
    <w:rPr>
      <w:b/>
      <w:kern w:val="28"/>
      <w:sz w:val="24"/>
    </w:rPr>
  </w:style>
  <w:style w:type="paragraph" w:customStyle="1" w:styleId="StandardBlocksatz">
    <w:name w:val="Standard Blocksatz"/>
    <w:basedOn w:val="Standard"/>
    <w:pPr>
      <w:jc w:val="both"/>
    </w:pPr>
  </w:style>
  <w:style w:type="character" w:styleId="Seitenzahl">
    <w:name w:val="page number"/>
    <w:basedOn w:val="Absatz-Standardschriftart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Textkrper">
    <w:name w:val="Body Text"/>
    <w:basedOn w:val="Standard"/>
    <w:link w:val="TextkrperZchn"/>
    <w:rsid w:val="008A5391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  <w:jc w:val="both"/>
    </w:pPr>
    <w:rPr>
      <w:rFonts w:cs="Arial"/>
      <w:sz w:val="24"/>
      <w:szCs w:val="24"/>
    </w:rPr>
  </w:style>
  <w:style w:type="character" w:customStyle="1" w:styleId="TextkrperZchn">
    <w:name w:val="Textkörper Zchn"/>
    <w:link w:val="Textkrper"/>
    <w:rsid w:val="008A539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VVD Vorlage 3-6-3[N03]Rev3</Template>
  <TotalTime>0</TotalTime>
  <Pages>4</Pages>
  <Words>1614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VVD - Gebrauchs- und Fachinformation GFPQ CPD (UKE)</vt:lpstr>
    </vt:vector>
  </TitlesOfParts>
  <Company/>
  <LinksUpToDate>false</LinksUpToDate>
  <CharactersWithSpaces>11766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VVD - Gebrauchs- und Fachinformation GFPQ CPD (UKE)</dc:title>
  <dc:subject/>
  <dc:creator>Geffken, Maria</dc:creator>
  <cp:keywords/>
  <dc:description>basiert auf SOP 4.01.01 Anlage 02 Version 02</dc:description>
  <cp:lastModifiedBy>Hiller, Andrea</cp:lastModifiedBy>
  <cp:revision>2</cp:revision>
  <cp:lastPrinted>2005-09-14T11:18:00Z</cp:lastPrinted>
  <dcterms:created xsi:type="dcterms:W3CDTF">2020-01-28T07:10:00Z</dcterms:created>
  <dcterms:modified xsi:type="dcterms:W3CDTF">2020-01-28T07:10:00Z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[004]</vt:lpwstr>
  </property>
  <property fmtid="{D5CDD505-2E9C-101B-9397-08002B2CF9AE}" pid="3" name="gültig ab">
    <vt:lpwstr>15.03.2018</vt:lpwstr>
  </property>
  <property fmtid="{D5CDD505-2E9C-101B-9397-08002B2CF9AE}" pid="4" name="Dokument">
    <vt:lpwstr>9-58.512.1-0</vt:lpwstr>
  </property>
  <property fmtid="{D5CDD505-2E9C-101B-9397-08002B2CF9AE}" pid="5" name="Verfasser">
    <vt:lpwstr>Dr. Bentzien</vt:lpwstr>
  </property>
  <property fmtid="{D5CDD505-2E9C-101B-9397-08002B2CF9AE}" pid="6" name="Genehmigt">
    <vt:lpwstr>Dr. Hiller</vt:lpwstr>
  </property>
  <property fmtid="{D5CDD505-2E9C-101B-9397-08002B2CF9AE}" pid="7" name="QM-Beauftragter">
    <vt:lpwstr>Dr. Denzer</vt:lpwstr>
  </property>
</Properties>
</file>